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1854</w:t>
      </w:r>
    </w:p>
    <w:p>
      <w:r>
        <w:rPr>
          <w:b/>
        </w:rPr>
        <w:t xml:space="preserve">Datum: </w:t>
      </w:r>
      <w:r>
        <w:t>1930-03-18</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Lindqvist (Socialdemokraterna, man)</w:t>
      </w:r>
    </w:p>
    <w:p>
      <w:r>
        <w:rPr>
          <w:b w:val="0"/>
        </w:rPr>
        <w:t>Herr talman, mina herrar! TI fråga om den nu föredragna lagen, lagen om arvsavtal, ha meningarna inom första lagutskottet varit delade. Det har varit så, att utskottet varit jämnt kluvet, och det är först efter begagnande av den förseglade sedeln, som utskottets utlåtande blivit sådant som det är.</w:t>
        <w:br/>
        <w:br/>
        <w:t>Den lag, som här föreligger, förefaller ju att vara ganska oskyldig, och den är väl så också, men den berör dock och omfattar bra mycket mer än man skulle tro vid första läsningen av densamma. Skall man riktigt få klart för sig, hur mycket densamma omfattar, så blir det nödvändigt att icke endast läsa propositionen, utan man är också 1 behov av att läsa vad lagberedningen här har haft att säga. Lagen, sådan som den föreligger, är fristående från testamentsrätten, och ett eventuelit avslag på denna lag kommer icke att äventyra testamentslagen.</w:t>
        <w:br/>
        <w:br/>
        <w:t>När vi, som stå såsom reservanter, här ha yrkat avslag på den föreliggande lagen, ha vi icke gjort det med en sådan motivering, att vi anse, att en lag sådan som denna är obehövlig, utan även vi erkänna och tro, att de förhållanden, som man vill reglera med denna lag, kunna vara av nöden att reglera med en lag. Men vår tveksamhet ligger på det området, att vi ifrågasätta, om lagen har blivit sådan som den rätteligen bör vara. Vi ha för närvarande, såvitt jag funnit, icke någon lag, som reglerar dessa förhållanden, utan de ha reglerats så långt möjligt varit utan någon lagstiftning.</w:t>
        <w:br/>
        <w:br/>
        <w:t>Nu ha vi reservanter tagit upp i vår reservation några exempel för att visa på, hur lagen, om den blir antagen, skulle komma att verka, och ha kammarens ärade ledamöter tagit del av denna reservation, så ha också ledamöterna varit i tillfälle att reflektera över om det kan vara riktigt att ha en lag, som kan leda till förhållanden, sådana som här lämnats exempel på.</w:t>
        <w:br/>
        <w:br/>
        <w:t>Vi vilja visst inte ha bort laglotten, som man skulle kunna tro av en talares anförande här i dag. Visserligen föreligger det en motion i första kammaren och även här i kammaren en av herr Hedlund, där motionärerna ganska starkt</w:t>
        <w:br/>
        <w:br/>
        <w:t>vända sig emot laglotten, men vi som reserverat oss ha icke vänt oss mot laglotten såsom sådan. Vi ifrågasätta dock, om man icke med denna lag gör laglotten mera helig än den egentligen bör vara. Det har tagits särskilt upp som exempel, när ett par äkta makar träffa inbördes testamente och detta testamente godkänts av bröstarvingarna, men så kunna dessa bröstarvingar efter det fadern eller modern, d. v. s. en av makarna, avlidit, komma och, trots att de godkänt testamentet, fordra sin laglott. Vi ha ifrågasatt, om det kan vara riktigt att ordna på detta sätt.</w:t>
        <w:br/>
        <w:br/>
        <w:t xml:space="preserve">Det finnes även andra förhållanden, som genom denna lag skulle bli reglerade, och där jag för min personliga del är mycket tveksam, om det blir bättre med en sådan ordning, som man här föreslår. Jag avser då de s. k. försörjningsavtalen. Det framgår ej mycket, när man läser 3 $, där det endast heter, att avtal, varigenom arvlåtare förfogat över sin kvarlåtenskap, vare ej gällande. Jag har där funnit, att lagberedningen, när den gått emot dessa försörjningsavtal, har kunnat framdraga skäl, som kunna vara nog så starka. Men å andra sidan tror jag, att man kan draga fram skäl för, att försörjningsavtal i vissa fall kunna vara sådana, att man ej bör förbjuda dem. Det inträffar ej så sällan — jag har sett det flera gånger på landet, där jag känner förhållandena bättre än i städerna — att det har varit ett par makar, som ha ägt ett eget hem. Så har t. ex. mannen dött och </w:t>
      </w:r>
      <w:r>
        <w:rPr>
          <w:b/>
        </w:rPr>
        <w:t>hustrun²</w:t>
      </w:r>
      <w:r>
        <w:rPr>
          <w:b w:val="0"/>
        </w:rPr>
        <w:t xml:space="preserve"> har blivit ensam. Om det då har funnits en gift </w:t>
      </w:r>
      <w:r>
        <w:rPr>
          <w:b/>
        </w:rPr>
        <w:t>dotter²</w:t>
      </w:r>
      <w:r>
        <w:rPr>
          <w:b w:val="0"/>
        </w:rPr>
        <w:t xml:space="preserve">, så har kanske modern frågat </w:t>
      </w:r>
      <w:r>
        <w:rPr>
          <w:b/>
        </w:rPr>
        <w:t>dottern²</w:t>
      </w:r>
      <w:r>
        <w:rPr>
          <w:b w:val="0"/>
        </w:rPr>
        <w:t xml:space="preserve"> och mågen, om ej de skulle vilja flytta hem till </w:t>
      </w:r>
      <w:r>
        <w:rPr>
          <w:b/>
        </w:rPr>
        <w:t>henne²</w:t>
      </w:r>
      <w:r>
        <w:rPr>
          <w:b w:val="0"/>
        </w:rPr>
        <w:t xml:space="preserve"> i stugan i det egna hemmet. De skulle få ho där, och de skulle på grund av att de toge hand om </w:t>
      </w:r>
      <w:r>
        <w:rPr>
          <w:b/>
        </w:rPr>
        <w:t>henne²</w:t>
      </w:r>
      <w:r>
        <w:rPr>
          <w:b w:val="0"/>
        </w:rPr>
        <w:t xml:space="preserve"> och gåve </w:t>
      </w:r>
      <w:r>
        <w:rPr>
          <w:b/>
        </w:rPr>
        <w:t>henne²</w:t>
      </w:r>
      <w:r>
        <w:rPr>
          <w:b w:val="0"/>
        </w:rPr>
        <w:t xml:space="preserve"> den omvårdnad, varav </w:t>
      </w:r>
      <w:r>
        <w:rPr>
          <w:b/>
        </w:rPr>
        <w:t>hon²</w:t>
      </w:r>
      <w:r>
        <w:rPr>
          <w:b w:val="0"/>
        </w:rPr>
        <w:t xml:space="preserve"> kunde vara i behov, få, om de levde efter </w:t>
      </w:r>
      <w:r>
        <w:rPr>
          <w:b/>
        </w:rPr>
        <w:t>henne²</w:t>
      </w:r>
      <w:r>
        <w:rPr>
          <w:b w:val="0"/>
        </w:rPr>
        <w:t xml:space="preserve">, den förmögenhet, som kunde finnas därefter. Jag tycker, att ett sådant försörjningsavtal icke i allt är av ondo utan nog har något gott med sig. Jag kan ej finna, att det kan vara riktigt, att om denna </w:t>
      </w:r>
      <w:r>
        <w:rPr>
          <w:b/>
        </w:rPr>
        <w:t>kvinna¹</w:t>
      </w:r>
      <w:r>
        <w:rPr>
          <w:b w:val="0"/>
        </w:rPr>
        <w:t xml:space="preserve">, denna </w:t>
      </w:r>
      <w:r>
        <w:rPr>
          <w:b/>
        </w:rPr>
        <w:t>moder²</w:t>
      </w:r>
      <w:r>
        <w:rPr>
          <w:b w:val="0"/>
        </w:rPr>
        <w:t xml:space="preserve">, blir omvårdad av en av </w:t>
      </w:r>
      <w:r>
        <w:rPr>
          <w:b/>
        </w:rPr>
        <w:t>döttrarna²</w:t>
      </w:r>
      <w:r>
        <w:rPr>
          <w:b w:val="0"/>
        </w:rPr>
        <w:t xml:space="preserve">, sedan, efter det </w:t>
      </w:r>
      <w:r>
        <w:rPr>
          <w:b/>
        </w:rPr>
        <w:t>hon²</w:t>
      </w:r>
      <w:r>
        <w:rPr>
          <w:b w:val="0"/>
        </w:rPr>
        <w:t xml:space="preserve"> gått bort, de andra </w:t>
      </w:r>
      <w:r>
        <w:rPr>
          <w:b/>
        </w:rPr>
        <w:t>döttrarna²</w:t>
      </w:r>
      <w:r>
        <w:rPr>
          <w:b w:val="0"/>
        </w:rPr>
        <w:t xml:space="preserve">, som eventuellt finnas och som ej förut brytt sig om modern, skola få komma och göra anspråk på sin laglott, och det även om den ej är så stor utan det mycket väl kunde vara så, att den </w:t>
      </w:r>
      <w:r>
        <w:rPr>
          <w:b/>
        </w:rPr>
        <w:t>dotter²</w:t>
      </w:r>
      <w:r>
        <w:rPr>
          <w:b w:val="0"/>
        </w:rPr>
        <w:t>, som vårdat modern, kunde anses ha gjort sig förtjänt av att få den.</w:t>
        <w:br/>
        <w:br/>
        <w:t>Nu är det möjligt, att här i debatten om denna avtalslag man kommer från några håll, särskilt till följd av en motior, som föreligger, att taga upp till diskussion hela laglottsinstitutet. Men om någon så skulle göra, så vill jag hbetyga, att reservanterna icke tagit ställning till och icke diskuterat laglottsinstitutet som sådant utan endast ifrågasatt, om man ej genom denna lag kringgärdar detsamma hårdare och starkare än riktigt är. Utöver den reservation vi avgivit, där vi yrkat avslag på hela lagen, föreligger ju en reservation, avlämnad av utskottets ärade ordförande. Jag vill icke säga mera om denna reservation, än att denne reservant med sitt förslag gått längre, än jag i detta nu vill vara med om. Han tar ställning till laglottsinstitutet på ett sådant sätt i sin reservation, att jag ej vågar taga den ställningen. Jag tror därför, när det nu gäller att med lag reglera ett nytt område, att det vore bäst, om vi uppsköte denna sak och gjorde, som reservanterna här sagt, hänsköte frågan på nytt till lagberedningen, så att den finge i sitt fortsatta arbete taga under förnyad omprövning denna sak och de synpunkter, som här kommit fram nu i riksdagen vid behandlingen av denna fråga.</w:t>
        <w:br/>
        <w:br/>
        <w:t>Med dessa ord, herr talman, ber jag att få yrka bifall till den reservation, som är avgiven av herr Larson i Lerdala m. fl.</w:t>
      </w:r>
    </w:p>
    <w:p>
      <w:pPr>
        <w:pStyle w:val="Heading2"/>
      </w:pPr>
      <w:r>
        <w:t>2. Gustaf Adolf Björkman (Första kammarens nationella parti, man)</w:t>
      </w:r>
    </w:p>
    <w:p>
      <w:r>
        <w:rPr>
          <w:b w:val="0"/>
        </w:rPr>
        <w:t>Herr talman! Den siste ärade talaren stödde sitt huvudsakliga ståndpunktstagande i avseende å arvsavtalslagen på, att man borde få ett uppskov, så att lagberedningen ånyo finge pröva frågan med aktgivande å</w:t>
        <w:br/>
        <w:br/>
        <w:t>de synpunkter, som nu framställts i detta ämne. Jag ser dock ej, att man spårat mycket av särskilda uppslag, som kunde vara att taga vara på för lagberedningen i denna fråga. Den siste ärade talaren nämnde något om försörjningsavtal och dylikt, men jag kan — i likhet med lagberedningen — ej förstå, att det är något, som i det här sammanhanget är av vikt. Det kan ju sedermera bli föremål för särskilda riksdagsmotioner, men med avseende på arvsavtalsfrågan tycker jag icke, att det föreligger något uppslag, som bör särskilt iakttagas. Lagberedningen har sagt, att den här uttömt alla möjligheter, och att den ej finner annat att komma med än detta, som här ligger före. Varför då komma med ett avslag som innebär återremiss utan uppslag?</w:t>
        <w:br/>
        <w:br/>
        <w:t xml:space="preserve">Den ärade talaren sade i detta sammanhang, att han ej på något sätt velat gå emot laglotten. Men jag vill bara påpeka, att i slutet av den av honom biträdda reservationen står det dock, att vid förnyat övervägande av bröstarvinges rätt att avsäga sig laglott jämväl skulle tagas under omprövning de synpunkter, som av motionärerna anförts rörande laglottens berättigande överhuvud taget. Ja, det är just därför, att i sammanhang med arvsavtalslagen denna fråga om laglotten ligger uppe på ett sådant plan, att vi måste taga ståndpunkt till densamma, som vi haft så stort intresse för denna avtalslag. Reservanterna, och även den siste talaren, ha medgivit, att det vore till stor fördel, om frågan bleve utredd, och att förutsättningar nu finnas för ett ställningstagande därtill. Emellertid vill man ha uppskov, och det framhålles, att i gällande svensk rätt föreslås nu den betydande ändring, att bröstarvinges avsägelse av rätt till laglott ej skall vara gällande, med mindre det visas, att han avstått från laglotten mot skäligt vederlag. Mig undras, om det är någon så betydande ändring, som här föreslås. Det är så, att lagberedningen säger, att den rätt, varpå vi nu stå, utvisar, att bröstarvinge kan bindande avstå från laglottsrätten, och säger vidare, att en benägenhet finnes för godkännande av en sådan förklaring utan avseende å värdet av vederlaget. Och så finnes det nu ett par rättsfall, summa två, att beakta. Det är ett fall från år 1918 och ett från år 1920. Med dessa som utgångspunkt kan man dock ej säga, att det är någon så kraftig praxis, på vilken man kan hänvisa, då man vill göra gällande, att det här är fråga om ett utvidgat ståndpunktstagande mot möjligheten att avsäga sig rätten till laglott. I det första fallet gällde det en person, som under rättegången klarlades vara äkta son till testamentsgivaren. Han hade fått ett par förskott och i sammanhang med det sista avsagt sig arvsrätten. Det var då fråga om han skulle få rygga avtalet och göra gällande, att det vore ogiltigt. Han fick icke göra det, utan avtalet ansågs bindande, men i den rättegången förekommo en del postkvitton och värdeförsändelser, som kunde utgöra stöd för antagandet, att han fått skäligt vederlag. Sedan komma vi till prejudikatet av år 1920. Där fastslås den regel, som finnes i denna arvsavtalslag, nämligen om vederlag. Där var ett barn till testamentsgivaren. Testamente gjordes nu till förmån för en fond, och från den fonden, som slutligen skulle tillfalla barnbarnen, skulle deras fader eller om det nu var </w:t>
      </w:r>
      <w:r>
        <w:rPr>
          <w:b/>
        </w:rPr>
        <w:t>moder²</w:t>
      </w:r>
      <w:r>
        <w:rPr>
          <w:b w:val="0"/>
        </w:rPr>
        <w:t>, få ut underhållsrätt. Det var då fråga, huruvida barnet, som godkänt testamentet men sedan klagade, skulle stå för godkännandet eller ej. Högsta domstolen höll då före, att det så finge göra, därför att vederlag var lämnat. Det är alltså ej, som sades, något så förfärande fastlåsande av laglotten, som gör den ännu heligare, utan, såvitt jag förstår. ett utgående från att vi ha laglotten och att det är en helig rätt, som nu principiellt skyddas. Den siste ärade talaren yttrade ej så mycket om laglottens själva berättigande, men jag anser frågan så viktig, att jag ber att få redan nu säga några ord därom. Frågan härom kommer väl nämligen upp vidare i debatten.</w:t>
        <w:br/>
        <w:br/>
        <w:t>Vi, som hålla på laglotten och som i utskottet ofta stå på den mera konservativa eller borgerliga sidan, om jag får använda det uttrycket, det är vi, som</w:t>
        <w:br/>
        <w:br/>
        <w:t>i detta fall äro demokratiska, ty vi stödja oss på den franska revolutionens idéer om laglotten. Däri ingick att man skulle hindra fäders obehöriga inflytande å barnen, man höll då före, att det är de yngre, som behövde skydd mot de äldre. Man ville vidare ej så ut frön till osämja mellan syskon, och man ansåg, att, om man toge bort laglotten, gavs spelrum för en primogenitur och andra förmåner, som franska revolutionen ville ha bort. Vi här i Sverige ha ej så starkt laglottsskydd som i andra länder, där man i allmänhet skulle kunna säga, att större frihet ej medges för dem, som vilja testamentera. Man ser, att i de flesta länder går laglotten ut med större procent och är skyddad med starkare regler, där man ej gjort en lex in casu. I Norge har man t. ex. bestämt testamentsrätten upp till ett värde av 2,000,000 kronor oberoende av laglotten, men det är väl ej många här i kammaren, som skulle finna det nödigt att vi hade en sådan bestämmelse hos oss och rätten att testamentera stoppades vid ett belopp av 2,000,000 kronor. I England är det på annat sätt. Där är det intet laglottsskydd. Men engelsmännen ha kanske även i någon mån haft olägenheter av, att laglotten ej finnes, ty det har varit en tendens att man för att behålla de stora egendomarna försökt hopa allt på en hand, och så kan tvärtom laglottsskyddets uteblivande i någon mån ha haft till följd tillar av dessa stora domäner, som finnas där. Men nu reageras det emellertid äremot.</w:t>
        <w:br/>
        <w:br/>
        <w:t xml:space="preserve">Så en annan sak. Jag hade väntat, att det skulle sägas, då det i 2 $ talas om, att bröstarvinge äge utfå sin laglott, med mindre han avstått från denna mot skäligt vederlag, att det är orätt, ja, upprörande, om det träffas ett avtal sunda och enkla naturliga människor emellan, beträffande avstående av laglotten, att det då skall kunna rubbas. Det är dock väl endast i undantagsfall, som det kan tänkas bli en rubbning. Har det slutits avtal, är det nog så, att det i allmänhet står sig. Men här vill man ha ett skydd för vissa fall, där det kan vara påkallat. Exempelvis när den laglottsberättigade vid avtalets träffande varit i ett nödläge eller av lojala hänsyn ansett sig böra skriva under. En ung son vill gifta sig, men far och </w:t>
      </w:r>
      <w:r>
        <w:rPr>
          <w:b/>
        </w:rPr>
        <w:t>mor²</w:t>
      </w:r>
      <w:r>
        <w:rPr>
          <w:b w:val="0"/>
        </w:rPr>
        <w:t xml:space="preserve"> säga nej. Sedan blir det ett slags uppgörelse, och då är det fråga, om han, som i det nödläget träffat uppgörelse, skall stå för densamma eller ej. Han kan ha haft piskan över sig. Och i de vanligast förekommande fallen gäller det lojala människor, som tänka: vi skola skriva under det här nu, och sedan jämnar det väl ut sig. Då man säger, att det är något upprörande, om de sedermera rygga sitt ord, så är det ju dock så, att det beror på, under vilka förhållanden det skett. Märkas kan, att det i lagen finnes så många fall, där man med hänsyn till den svagare kontrahenten uppställt den regeln, att ett avtal ej är gällande. Vi behöva bara tänka på hur det var under kristiden, då man hade hyreslagar, som reglerade hyresförhållandena, och då gällde ej avtalsfrihet i fråga om hyresavtal. Varför? Jo, den svagare parten skulle skyddas. Det finnes i nyttjanderättslagen och ensittarlagen mångfaldiga exempel på, att man till stöd för den svagare parten säger, att avtal ej är gällande. En motsvarighet föreligger här. Det är med dessa särskilda och andra synpunkter, som majoriteten — låt vara att denna nu tillkommit med lottens hjälp — står på denna arvsavtalslags ståndpunkt. Jag har redan nu velat säga detta, så att dessa synpunkter må kunna tagas upp till gendrivande.</w:t>
        <w:br/>
        <w:br/>
        <w:t>Herr talman, jag ber att få yrka bifall till hela det lagförslag, varmed vi nu sysselsätta oss.</w:t>
      </w:r>
    </w:p>
    <w:p>
      <w:pPr>
        <w:pStyle w:val="Heading2"/>
      </w:pPr>
      <w:r>
        <w:t>3. Vilhelm Lundstedt (Socialdemokraterna, man)</w:t>
      </w:r>
    </w:p>
    <w:p>
      <w:r>
        <w:rPr>
          <w:b w:val="0"/>
        </w:rPr>
        <w:t>Herr talman! Den föreslagna lagen om arvsavtal står icke i nödvändigt sammanhang med testamentslagen. Denna sistnämnda lag kommer icke att bliva på något sätt haltande, därför att den icke åtföljes av lagen om arvsavtal. Nu hava åtskilliga reservanter påyrkat ett eller annat års upp-</w:t>
        <w:br/>
        <w:br/>
        <w:t>skov med antagande av en lag om arvsavtal. Detta yrkande synes mig särdeles väl motiverat. Lagförslaget ifråga vilar nämligen på en uppfattning av den s. k. laglottens rättsliga karaktär, vilken uppfattnings riktighet starkt kan dragas i tvivelsmål. I sådant avseende ber jag först att få hänvisa till synpunkter, framlagda i ett par motioner rörande laglotten. De allmänna grunder, med vilka utskottet vill tillbakavisa dessa synpunkter, ådagalägga ytterligare behovet av att laglottsfrågan blir bättre ventilerad, innan riksdagen antager denna lag om arvsavtal.</w:t>
        <w:br/>
        <w:br/>
        <w:t>Utskottets herr vice ordförande har visserligen i sitt nyss hållna anförande sökt hävda, att utskottets ståndpunkt vore den mera demokratiska, i det att den hade sin förebild i franska revolutionens idéer om okränkbara rättigheter. Jag vet icke om den ärade talaren därvid har utskottsmajoriteten på sin sida. I varje fall må därtill sägas, att visserligen ha dessa idéer haft en utomordentlig betydelse såsom mäktiga hävstänger för de förtryckta i deras kamp för vinnande av en socialt förbättrad ställning. Men denna betydelse beror ingalunda på dessa idéers förnuftighet utan på deras förmåga att elda och hänföra. Tager man de franska revolutionsidéerna på orden, så avslöja de sig som chimäriska hugskott, vilkas realiserbarhet är utesluten. Detta vare sagt alldeles 1 förbigående.</w:t>
        <w:br/>
        <w:br/>
        <w:t>( Pad har nu utskottet angående laglotten uttalat sig på följande sätt s. 12):</w:t>
        <w:br/>
        <w:br/>
        <w:t>» Vid arvslagens tillkomst framhölls, att underlaget för arvsrätten vore den på släktskap grundade ekonomiska och sociala samhörigheten mellan arvlåtare och arvingar samt att denna samhörighet såsom särskilt starkt grundad i förhållandet mellan arvlåtaren och hans bröstarvingar föranlett bröstarvets förtätande till en privilegierad arvsrätt, omfattande halva arvslotten. Vad sålunda anförts lärer otvivelaktigt äga giltighet.»</w:t>
        <w:br/>
        <w:br/>
        <w:t>Jag bestrider betydelsen av ett sådant resonemang. D. v. s. jag bestrider icke, att den angivna uppfattningen faktiskt spelat roll. Men jag bestrider, att den uppfattningen kan stå sig gentemot de faktiskt rådande förhållandena. Felet är, att utskottet ställer laglotten på samma linje som arvsrätten. Utskottet — liksom den rådande åsikten i allmänhet — förbiser därvid något, som torde vara av stor vikt i detta sammanhang, nämligen att laglotten i verkligheten står i strid med den bärande grunden för hela arvsrätten. Är detta riktigt, då kan den ärade kammaren icke rätt gärna vara likgiltig för detsamma, när det nu gäller att fatta beslut i den föreliggande frågan. Men därmed torde jag också vara ursäktad, när jag söker kammarens uppmärksamhet för åhörande av motiveringen för vad jag tillåtit mig påstå om utskottets och den gängse uppfattningens ohållbarhet. Jag är synnerligen angelägen att framhålla detta, ävensom att — ehuru mitt anförande kan bliva långt — jag hela tiden strängt håller mig till ämnet. Också om jag kommer att göra en och annan antydan om äldre tider, avser jag dock ingalunda att giva någon historisk exposé utan endast att meddela det minsta möjliga, som behövs för att förstå tankegången i framställningen.</w:t>
        <w:br/>
        <w:br/>
        <w:t>Att en person ärver något, innebär ju, att han blir s. k. ägare till de ifrågavarande tingen. Vad är då detta, att jag äger en sak? Jo, det är resultatet av att alla andra människor än jag själv avhålla sig från att företaga en mängd handlingar i avseende å saken, om jag själv icke är med därom. Detta åter beror på uppehållandet av allehanda regler om straff för rån, stöld, förskingring. olovligt begagnande, åverkan, hemfridsbrott m. m., vidare regler om skadestånd i dylika fall och vid andra skadegörande handlingar ävensom regler om återfående av t. ex. rånad eller stulen, utlegd eller deponerad sak. Man förstår härav, att den gängse äganderättsföreställningen giver en uppoch nedvänd bild av det verkliga läget. Ty gemenligen tror man, att den s. k. äganderätten</w:t>
        <w:br/>
        <w:br/>
        <w:t>är till oberoende av dessa regler, vilka tros skydda äganderätten. Man tror sålunda, att t. ex. tjuven gör ett ingrepp i, kränker annans äganderätt och därför straffas, under det att sanna förhållandet är, att vi förledas till den falska idéen om en äganderätt därigenom, att tjuvar, rånare, skadegörare, åverkare, försnillare o. s. v. straffas och få betala skadestånd. Tag bort sådana regler, och tanken på en äganderätt skulle sväva i luften. Hur skulle då äganderättens kränkande kunna utgöra grunden för dessa rättsreaktioner?</w:t>
        <w:br/>
        <w:br/>
        <w:t>Alltnog; att en person ärvt vissa ting innebär intet annat, än att en mängd regler om menliga rättsreaktioner till tyglande av folks handlingssätt i avseende å dessa ting icke avse just denna persons, arvingens, handlingar men däremot alla andras. Därigenom iakttaga dessa återhållsamhet i avseende å tingen, under det att arvingen, ohindrad av alla andra och utan risk för rättsliga reaktioner mot honom själv, kan fritt utföra en mängd saker med dessa ting och inom vissa gränser, som jag nu för enkelhetens skull måste lämna därhän, kan göra vad han vill med tingen ifråga. Men nu uppstår en synnerligen viktig fråga: vad är anledningen till, att livet inrättas på detta sätt, att den s. k. arvingen kommer i en sådan förmånlig position till dessa ting? Den frågan för oss först in på en allmännare, nämligen denna: vad är överhuvud förklaringen till, att en person kan komma i sådana här förmånliga positioner till tingen, likgiltigt om genom arv eller på annat sätt, t. ex. genom köp eller annan affärstransaktion?</w:t>
        <w:br/>
        <w:br/>
        <w:t>Söka vi nu i största allmänhet inrikta vår tanke på en gruppbildning av människor i äldsta tider, så är det ju ganska uppenbart, att redan människorna i en sådan grupp måste ha bemödat sig om att söka uppehålla någon slags ordning, genom vilken vissa drifter och egoistiska handlingssätt tillbakahöllos och genom vilken därigenom en person i avseende å vissa föremål erhöll möjlighet att handla utan hinder av de andra gruppmedlemmarna. En sådan hämsko på dessa var i sin tur nödvändig just av hänsyn till den mänskliga egoismen, självbevarelseinstinkten eller hur det nu bör kallas. Man skulle kanske kunna uttrycka saken så, att den socialt betonade egoismen fick herravälde över vissa andra sidor av egoism. Men hur som helst; vem skulle vilja lägga ner möda och arbete på byggande av hyddor och på annan odling av jord och mark, riskera liv och lem på infångande av villebråd, annan föda och nödigt material för livsuppehället, om den late, bekväme eller fege samhällsmedlemmen hade samma nytta av arbetsresultatet och samma möjlighet att förfoga över produkterna som den idoge mannen, genom vars energi och strapatser allt detta åstadkommits? Ser man för enkelhetens skull bort från sådana samhällsformer, i vilka de allmänna handlingssätten väsentligen dirigerats av förtryck genom despotism eller klassvälde, så måste också den mest primitiva sammanslutning för sin existens ha förutsatt en ordning, genom vilkens uppehållande en sådan hämsko lades på människornas handlingssätt, att individen därigenom fick en viss tryggad handlingsfrihet i avseende å gods, som han själv ockuperat, i avseende å mark, som han själv brutit, i avseende å jordhålor och andra bostäder, som han själv inrett ete. Naturligtvis var en sådan ordning icke medvetet inrättad för samlevnadens skull. Den hade sin omedelbara grund i magiska föreställningar. Men dessa voro i hemlighet dirigerade av sociala instinkter, i viss analogi med det nutida s. k. allmänna rättsmedvetandets utformning i grova drag efter samhällsnyttiga hänsyn. |</w:t>
        <w:br/>
        <w:br/>
        <w:t>När nu sedan — jag skall icke bli så långvarig, som det kan förefalla, men det är nödvändigt att använda några minuter till för att tydliggöra resonemanget — med utvecklingen från släktoch stamsamhälle och sedermera ytterligare ur feodalstaten, den enskildes s. k. »äganderätt» på nuvarande sätt blivit samhällets ekonomiska grundval, så har detta sammanhängt med i stort sett två ting. Å ena sidan är disponerandet över, utnyttjandet av saker, fasta</w:t>
        <w:br/>
        <w:br/>
        <w:t>som lösa, vilka äro av nytta för människorna, något högst begärligt för dessa. Möjligheter att disponera över och utnyttja tingen äro därför synnerligen eftersträvansvärda för människorna. Å andra sidan förhåller det sig så, att genom människornas talrikhet det produktiva arbetet har blivit en livsbetingelse för dem. Sådant arbete både ökar nyttigheternas värde och nyskapar sådana. Detta arbete är för samhället icke blott nyttigt utan nödvändigt, liksom arbetskraftens anspänning till det yttersta alltid måste bliva en för det allmänna högst angelägen sak. HEggelsen till utförande av direkt eller indirekt producerande arbete utgöres just av utsikten att komma i besittning av för människor mer eller mindre begärliga ting att fritt disponera över, vare sig dessa ting nu skapas direkt genom arbetet eller erhållas i utbyte mot arbetskraft. Denna disposition över tinget är naturligtvis mera eftersträvansvärd ju mera fri och omfattande den är. Och då det varit av största vikt att just ha en så stark drivfjäder till det produktiva arbetet som möjligt, är det icke underligt, att i samhällena en ordning har rått, enligt vilken människorna på vissa betingelser kunnat skaffa sig snart sagt obegränsade handlingsmöjligheter i avseende å ett ting — en position som lett till föreställningen om en äganderätt till tingen. Dessa i den s. k. äganderätten ingående handlingsmöjligheter (i nutiden mera begränsade än i forna tider) åstadkommas sedan urminnes tider genom uppehållandet av regler om s. k. laga fång och sig härtill anslutande regler om tjuvars, åverkares och andra skadegörares bestraffning, regler om skadestånd, vindikation o. s. v. Och av det sagda är uppenbart, att alla dessa rättsregler Just ha sin sociala funktion i att, var och en i sin mån, åstadkomma den trygghet för personen vis å vis tinget, som är erforderlig, för att han därmed skall kunna (i vår tid inom vissa gränser) förfara efter godtycke.</w:t>
        <w:br/>
        <w:br/>
        <w:t>Emellertid är det av vikt att beakta, att man numera, i olikhet mot förr, gör den ena erfarenheten efter den andra, som visar, att »äganderätt» och »äganderätt» icke alltid kunna vara ett och detsamma. Dessa erfarenheter borde bidraga till insikt om att med en persons »äganderätt» till ett ting icke i verkligheten kan avses något annat, än att genom alla dessa antydda reglers uppehållande till dirigerande av människornas handlingssätt den effekten uppstår, att Just han får en mängd handlingsmöjligheter i avseende å tinget, under det att alla andra skjutas åt sidan. Reglerna ifråga gälla nämligen alla andra, men icke honom själv. Därigenom kommer han att så att säga ensam stå som herre på täppan. De handlingsmöjligheter, som uppstå för »ägaren», komma så, på grund av reglernas egen karaktär, att bliva växlande med hänsyn till arten av det föremål, vartill de referera sig. TI äldre tider framträdde icke dylika erfarenheter på samma tydliga sätt. Anledningen härtill är ju ganska klar. Dels har man att taga i betraktande den dåtida samhällsmekanismens relativt enkla struktur. De dåtida mer eller mindre grova linjerna, utefter vilka samhället rörde sig, ha numera efterträtts av ett nätverk av de allra finaste trådar, de mest utdifferentierade intressen och intressemotsättningar, till vilka hänsyn ovillkorligen måste tagas, om icke maskineriet skall börja gnissla högljutt. Dels får man icke heller förbise äldre tiders brist på sociala insikter och intressen hos folkets flertal, ävensom — efter det att sådana väckts till liv — dess bristande makt att genomföra en ordning, som tillgodosåge dess intressen. Det stod i god överenssti ämmelse med denna enkla, mera grovhuggna samhällsmekanism, att en s. k. »ägare» i denna sin s. k. »egenskap» hade alla tänkbara möjligheter att disponera över tinget. Att ha annat än denna förenklade syn på</w:t>
        <w:br/>
        <w:br/>
        <w:t>saken, därtill fanns ur social synpunkt ingen anledning. En närmare undersökning av »äganderätten» till utrönande av dess innebörd var överflödig. Ägde man en sak, så betydde detta, att den hade, med uteslutande av alla andra från saken, tillfallit en, att den var ens egendom, tillhörighet, med vilken man kunde göra vad man ville utan hänsyn till den skada eller nytta för andra, som kunde</w:t>
        <w:br/>
        <w:br/>
        <w:t>uppstå genom ens hantering av saken. Detta blev därför äganderättens »natur» i det allmänna föreställningssättet.</w:t>
        <w:br/>
        <w:br/>
        <w:t>Vad som särskilt nu bör läggas på minnet är att, när tron på denna »äganderätt» utbildades, då stod en sådan absolut äganderätt icke i uppenbar strid med rådande uppfattning om samhällsintressena. Men å andra sidan reflekterade man lika litet häröver som över det förhållandet, att »äganderätten» utbildats i sammanhang med samhället självt, ja att samhällets fungerande bl. a. bestod i uppehållandet av sådana regler, att därigenom personer kommo i den trygga ställning att kunna disponera över ting, som man kallar en persons äganderätt.</w:t>
        <w:br/>
        <w:br/>
        <w:t>Herr talman! Jag ber om ursäkt för att min stämma 1 dag tillfälligtvis är svagare än vanligt. Det är nästan omöjligt för mig att kunna genombryta sorlet. Det vore önskvärt, om det på vissa ställen kunde bli litet tystare i kammaren. I varje fall ser jag mig nödsakad att eljest avbryta mitt anförande.</w:t>
        <w:br/>
        <w:br/>
        <w:t>För att nu tillsvidare fortsätta detta, vill jag säga, att man på angivet sätt alldeles har förbisett, att »äganderätten» blott var en viss sida av själva samhällsmekanismen. På grund av sådant förbiseende har man kommit till dessa 1 huvudsak alltjämt härskande föreställningar, dels att äganderätten vore att fatta såsom ett så till vida i sig självt givet attribut åt människor, att den vore att taga till utgångspunkt vid lagars tolkning och stiftande, och dels att äganderätten till sin karaktär »egentligen» vore absolut, oinskränkt. Långt ifrån att inse, att den s. k. ägarens handlingsmöjligheter i avseende å tinget blott äro följder av vissa rättssatsers uppehållande, ser man tvärtom saken så, att dessa handlingsmöjligheter härflyta av hans »äganderätt», av att saken »tillhör» honom, är hans »egendom». Och när nu likväl man icke kan undgå att märka, att en ägare alldeles icke har alla möjligheter att disponera över sin »egendom» utan t. o. m., såsom vid expropriation, måste foga sig i att helt och hållet bliva av med varje sådan möjlighet, så säger man, att det finns legala inskränkningar 1 äganderätten, en föreställning som blir tanklös, så snart man förmår verkligen aktualisera för sig, att »äganderätten» endast är en annan sida därav, att vissa rättsregler uppehållas.</w:t>
        <w:br/>
        <w:br/>
        <w:t>Efter denna mycket, mycket schematiska bild av vissa hithörande förhållanden är jag nu färdig att omedelbart inrikta mig på argumentationen för mitt påstående, att laglottstanken står i direkt strid med den bärande grunden för arvsrätten. Av vad jag påpekat torde nämligen framgå, att s. k. förvärvad äganderätt väsentligen icke kan vara något annat än en viss trygg situation i avseende å ting, en situation uppkommen såsom en följd av andra människors återhållsamhet i avseende å tingen. Denna återhållsamhet är i sin tur en följd av det allmänna medvetandet om regelmässigt inträdande rättsreaktioner, i form av särskilt straff och skadestånd, på handlingssätt, som avvika från en sådan återhållsamhet. Att åter sådana reaktioner upphållas det bottnar ytterst i nödvändigheten för den allmänna produktionen av att människor kunna komma i dessa trygga positioner till tingen. Utan dem skulle den mest väsentliga eggelsen 1 samhället till direkt eller indirekt produktiv verksamhet vara borta. Den »äganderätt», som man »förvärvar» genom köp, byte eller annan liknande affär. kan sålunda sägas vara grundad på den produktiva insatsens princip. Jag tilllåter mig fästa uppmärksamheten på, att det här alltid blir i viss mån nödvändigt att generalisera betraktelsesättet. Naturligtvis kan »egendom förvärvas» jämväl på mer eller mindre »arbetsfria» sätt. Men detta beror då just på, att en viss generalisering i rättsreglernas utformning blir nödvändig av hänsyn antingen omedelbart till affärslivet eller också till behovet för detta av utbildandet av en allmän känsla av trygghet och tillit i avseende å avslutade transaktioner. Detta är ett omfattande ämne, som jag här icke kan uppehålla mig vid och som jag endast berört till förekommande av på missförstånd grundade invändningar.</w:t>
        <w:br/>
        <w:br/>
        <w:t>Låt oss emellertid nu se på situationen, när en person med på detta sätt för- Ang. lag om värvade ägodelar dör. Nu inträda hans arvingar såsom s. k. ägare. Kan ock- !estamente så detta vara motiverat av hänsynen till den allmänna produktionen? Vi äro Morta.) därmed inne på den fråga, som, såvitt jag kan se, måste bli avgörande för ett." ståndpunktstagande till den föreslagna lagen.</w:t>
        <w:br/>
        <w:br/>
        <w:t>Jag är mycket ledsen, om detta anförande skall verka tråkigt och långrandigt på den ärade kammaren. Jag försvarar mig emellertid med, att allt vad jag här säger faktiskt hör till denna sak. Det är omöjligt att begripa hela frågan, om man icke tager del av dessa resonemang, förutsatt givetvis att man icke känner till dem förut.</w:t>
        <w:br/>
        <w:br/>
        <w:t xml:space="preserve">Emellertid frågar jag nu, kan också »äganderätt»&gt; genom arv vara motiverad av hänsyn till den allmänna produktionen? Både ja och nej kan svaras. Synpunkterna äro efter det föregående relativt enkla, och jag kan därför uttrycka mig kortfattat. Därav att det är nyttigt ur det allmännas synpunkt, att rättsregler uppehållas, som förskaffat arvlåtaren, den avlidne, såsom vederlag för hans arbete dessa riskfria handlingsmöjligheter, denna trygga position till de ifrågavarande tingen, följer icke, att det också finns något allmänt intresse, att det efter hans död beträffande samma ting uppehålles en sådan position åt hans arvingar. Tvärtom kan det närmast se ut, som om en arvinges tryggade position till kvarlåtenskapen icke ur samhällsnyttig synpunkt — och därmed överhuvud icke — kunde motiveras. Genom sg. k. arvsöverlåtelse kommer ju en person genom den rena passiviteten i denna ställning, som benämnes ägarens. Men då kan det väl här icke alls vara behovet av faktorer, som egga människorna till produktivt och annat nyttigt arbete, som skulle ligga i bakgrunden? Alldeles så enkelt ligger frågan dock icke till. Den arbetsstimulerande synpunkten framträder nämligen jämväl här mycket tydligt. Ty naturligtvis kan det vara en eggelse till arbete, att jag därmed kan trygga en god ekonomisk ställning icke blott för mig själv utan även för andra människor, som stå mig nära och vilkas intressen ligga mig om hjärtat. Mången arbetar förvisso mera energiskt med tanke på </w:t>
      </w:r>
      <w:r>
        <w:rPr>
          <w:b/>
        </w:rPr>
        <w:t>hustrus²</w:t>
      </w:r>
      <w:r>
        <w:rPr>
          <w:b w:val="0"/>
        </w:rPr>
        <w:t xml:space="preserve"> och barns än på sin egen framtid. Detta pekar oförtydbart på en här framträdande skillnad mellan i princip mera närstående och avlägsnare släktingar. I avseende å dessa senare gäller i allmänhet, att man är sig själv närmast, varför den produktionsstimulerande synpunkten här blott i — alltefter släktskapens avlägsenhet — mer och mer reducerad grad kan tala för uppkomsten av s. k. äganderätt genom arv. (Jfr härtill arvsrättsbegränsningen enligt 1928 års lag.)</w:t>
        <w:br/>
        <w:br/>
        <w:t>Är nu på detta sätt hänsynen till den allmänna produktionen den egentliga grunden för arvsrättens uppehållande — och någon annan torde i ett upplyst nutida samhälle näppeligen kunna utletas — så faller av sig självt, att laglotten står i skarp strid med grunden för arvsrätten. Ty laglottsregeln — d. v. s. en arvsföljd i strid med arvlåtarens önskningar — kan ju omöjligen i livet ha stimulerat denne till kapitalsamlande arbete. Snarare tvärtom. Att detta icke i allmänhet låter sig förmärkas beror därpå, att arvlåtarens egna intentioner mestadels förekomma laglottsregelns aktualisering. Men såsom denna är utformad, kan säkerligen icke någon annan grund för densamma utletas än vissa traditionella föreställningar om egendomens tillhörighet till ätten eller familjen. Hur mycket in dessa föreställningar i gångna tider möjligen må ha framdrivits av samhälleliga intressen, kan man dock icke komma ifrån, att de likväl alltid haft sin omedelbara grund i övertro. Lika litet som egendom kan tillhöra en enskild individ, kan den tillhöra ätten eller familjen. Ja en sådan tanke understryker på ett särskilt sätt just det verklighetsfräimmande momentet i äganderäöttsföreställningen. I varje fall har idén om ättens eller familjens s. k. äganderätt icke numera någon påvisbar reell bakgrund i de sociala förhållandena. Ett sådant påstående kan dock icke chockera. Man måste komma ihåg, att idén om ätten såsom ägare torde ha mycket gamla anor. Men det samhälle,</w:t>
        <w:br/>
        <w:br/>
        <w:t>där en sådan tanke härskade, var dock väsentligen annorlunda inrättat än det moderna samhället och dirigerades av föreställningar, vilka i mångt och mycket måste te sig egendomliga för nutidens människor.</w:t>
        <w:br/>
        <w:br/>
        <w:t>Med detta vare emellertid ingalunda sagt, att icke laglottstanken kan täcka vissa nyttiga synpunkter. Det är naturligtvis icke eftersträvansvärt, att en person skall få testamentera bort sin egendom, med påföljd att hans bröstarvingar falla fattigvården till last. Vissa allmänt mänskliga synpunkter gentemot att t. ex. en förmögen fader skulle genom testamente kunna beröva sin avkomma möjligheten av en solid uppfostran och för dess framtid lämplig utbildning måste också respekteras. Ja, man kan ifrågasätta att gå ännu längre. Till en viss grad måste man nämligen i 1 lagstiftningsarbetet taga hänsyn till vissa allmänt rådande, djupt rotade uppfattningar, även om dessa blott grunda sig på tradition och övertro. För att rätten skall kunna fullgöra sin sociala funktion måste nämligen alltid tillses, att sådan kontinuitet mellan gamla och nya lagar uppehålles, att icke vördnaden för rätten varder tillspillogiven.</w:t>
        <w:br/>
        <w:br/>
        <w:t>Huru laglott eller något därmed jämförligt är att på lämpligaste sätt utforma torde vara omöjligt att i detta ögonblick avgöra. Men därom rör sig icke heller frågan. Utan denna angår den föreslagna lagen om arvsavtal, som på ett särskilt sätt vill s. a. s. knäsätta den nuvarande laglotten. Det är av denna anledning, som en viss reda i uppfattningen av laglottsregelns rättsliga ställning måste fordras, innan man antager detta lagförslag. Och det är därför som jag vågat besvära den ärade kammaren med dessa, efter vad jag förstår, föga intresserande synpunkter. Min avsikt har emellertid alldeles icke varit att tråka ut kammaren. Utan jag har faktiskt trott det vara av vikt för de ärade ledamöterna att före detta ärendes avgörande erinras om, att utskottsmajoritetens uppfattning i ämnet är ohållbar och råkar i strid med den bärande grunden för själva arvsrätten.</w:t>
        <w:br/>
        <w:br/>
        <w:t>Man bör till sist också märka, att någon överhängande brådska med lagens antagande icke finnes.</w:t>
        <w:br/>
        <w:br/>
        <w:t>Beaktas vad jag nu tillåtit mig framhäva, ävensom vad som anförts dels i reservationen och dels här förut i dag av herr Lindqvist. så torde utan överdrift kunna sägas, att det överensstämmer med sunda grundsatser för lagstiftning, att man ytterligare tager sig någon tids funderare, innan man går till detta ur principiell synpunkt så viktiga avgörande.</w:t>
        <w:br/>
        <w:br/>
        <w:t>Herr talman, på dessa mina skäl instämmer jag i yrkandet på bifall till herr Larsons i Lerdala m. fl. reservation.</w:t>
      </w:r>
    </w:p>
    <w:p>
      <w:pPr>
        <w:pStyle w:val="Heading2"/>
      </w:pPr>
      <w:r>
        <w:t>4. Oscar Jonsson (Bondeförbundet, man)</w:t>
      </w:r>
    </w:p>
    <w:p>
      <w:r>
        <w:rPr>
          <w:b w:val="0"/>
        </w:rPr>
        <w:t>Herr talman! Det kan icke falla mig in att ingå 1 någon debatt med den föregående talaren, ty jag överlåter åt någon bättre kvalificerad person att bemöta honom. Jag vill endast framhålla några synpunkter, framsprungna ur en vanlig enkel människas hjärna.</w:t>
        <w:br/>
        <w:br/>
        <w:t>Om jag då först ser på reservanternas utlåtande, så ter det sig i och för sig icke så revolutionerande, som det i själva verket är. Om jag emellertid sätter det i samband med de motioner, som äro avlämnade, ter det sig mycket betänkligt. Laglottsrätten är särskilt på landsbygden mycket djupt rotad, och skulle man avskära de hjärterötter, varpå detta träd under århundraden växt och frodats, så tror jag, att vi skulle få höra en opposition från folket ute i landet, som vi kanske icke ana. Den motion, som är avlämnad av herr Schlyter, riktar sig mest mot de stora förmögenheterna. Det kan jag i någon mån förstå, men låt oss betänka, att en arvlåtare har dock möjlighet att ge bort halva denna förmögenhet. Detta är den ena punkten, som herr Schlyter pekar på. I den andra punkten framdrager han angående denna lags förhållande till en sinnessjuk, som icke kan förfoga över sin förmögenhet. Då skulle den tillfalla. den all-</w:t>
        <w:br/>
        <w:br/>
        <w:t>männa arvsfonden. Ja, om någon gång den allmänna arvsfonden skulle komma till sin rätt, så vore det i detta fall.</w:t>
        <w:br/>
        <w:br/>
        <w:t>Jag går sedan över till att draga ut några brottstycken ur den Fehrska motionen — jag kallar det brottstycken, ty det är ett brott mot det svenska rättsmedvetandet på familjerättens område. Här framhåller han i en punkt, att en människa skall kunna fritt förfoga över sin egendom lika väl efter dödsfallet som 1 livstiden. Ja, hur detta kan vara möjligt, kan jag icke begripa, ty den kommer under alla förhållanden att ändras med eller mot hans vilja. Vad i en andra punkt framhålles kan jag icke heller förstå. Där står nämligen: »Föräldrar sakna därför stundom den möjligheten att sörja för sina barns utbildning, som de skulle äga, om de ha frihet att göra dem arvlösa.&gt; Ja, kan någon människa förstå detta? Jag begriper det icke. Man skulle icke ha möjlighet att kunna sörja för sina barns uppfostran på den grund att man icke kan göra dem arvlösa. På landsbygden, där jag rätt väl känner till förhållandena, är det ju så, att föräldrar kunna ha möjlighet att hjälpa sina barn till att t. ex. förvärva sig ett arrende eller köpa en gård. Det är snart sagt enda möjligheten för dem att kunna slå sig fram i livet. Om de kunna få denna hjälp av sina föräldrar. Således är det en viktig omständighet att ge dem möjlighet och skyldighet att hjälpa sina barn på detta sätt. Sedan beklagar man sig i en punkt över att föräldrar icke hava möjlighet att ge det ena barnet alltsammans för att därigenom åstadkomma större välsignelse. Ja, här kommer man in på ett område, som skulle förbittra och försvåra förhållandet mellan syskon samt förhållandet mellan föräldrar och barn på ett sätt, som jag tror skulle vara ödesdigert för det svenska samhället. Jag utgår från en helt annan synpunkt. Kan man bevara sambandet mellan föräldrar och barn är därmed den största fördelen uppnådd både för den enskilde individen och för samhället. Får jag tyda denna motion så, att den innehåller perspektiv av det framtida moderna sam hället, som man strävar att utveckla på detta sätt, då är det beklämmande att tänka sig denna framtid. Låt oss hellre söka knyta fast det goda förhållande, som rått på de gamla rättsreglernas grund, genom att fastlåsa denna möjlighet att icke fritt få förfoga över eller handla hur som helst med kvarlåtenskapen. Till de regler, som äro föreskrivna i det föreliggande lagförslaget, skulle jag vilja ha till kammarens protokoll antecknad den gamla hävdvunna allbekanta satsen: »Från släkten har det kommit, till släkten skall det gå.» Denna regel har funnits i långa tider, och jag hoppas också, att den i dag skall befästas, så att den kan bestå tiderna igenom.</w:t>
        <w:br/>
        <w:br/>
        <w:t>Då vi så länge behandlat detta ärende, skall jag sluta. Jag vågar icke be kammarens ledamöter biträda Kungl. Maj:ts proposition och således även lagutskottets utlåtande, ty jag förmodar, att ni förstå dessa saker mycket bättre än jag, men de synpunkter, jag nu framhållit, hoppas jag skola sammanfalla med de ärade kammarledamöternas. Jag ber, herr tälman, att få yrka bifall till lagutskottets förslag.</w:t>
      </w:r>
    </w:p>
    <w:p>
      <w:pPr>
        <w:pStyle w:val="Heading2"/>
      </w:pPr>
      <w:r>
        <w:t>5. Georg Bissmark (Första kammarens nationella parti, man)</w:t>
      </w:r>
    </w:p>
    <w:p>
      <w:r>
        <w:rPr>
          <w:b w:val="0"/>
        </w:rPr>
        <w:t>Herr talman! Lagutskottets vice ordförande har redan framhållit, att den nu gällande lagstiftningen ingalunda helt och hållet släppt sambandet med den gamla nedärvda regeln att förhandsavtal beträffande laglotten under inga förhållanden äro giltiga. När reservanterna i sitt utlåtande säga, »att det får anses utgöra gällande svensk rätt, att avtal om laglotts avstående skola vara giltiga» så imnebär detta uttalande en betänklig misstolkning av lagberedningens yttrande. Lagberedningen säger nämligen, att den nuvarande lagstiftningen gått från den stränga regeln att alla avtal om laglottens avstående äro ogiltiga, och den säger vidare, alt det yppats en viss benägenhet för att icke fordra fullt vederlag för laglotten, för att ett avtal om dess avstående skall vara giltigt. Undersöka vi</w:t>
        <w:br/>
        <w:br/>
        <w:t>de rättsfall, som här vidrörts av lagutskottets vice ordförande, finner man, att i det ena fallet gäller det ett testamente, varigenom arvingen överhoppats och egendomen i stället tillfallit hans barn. Alltså just det fall, som av lagberedningen föreslagits skola bli giltigt. I det andra fallet gäller det ett testamente, där arvingen mottagit valuta för avstående av laglotten, men där det varit tvivelaktigt, huruvida denna valuta uppgått till laglottens fulla värde. Detta är något helt annat än att godkänna ett avstående av laglotten, där intet vederlag alls lämnats. Man ser härav, att man kan ingalunda säga, såsom reservanterna, att Kungl. Maj:ts förslag skulle innebära en betydande ändring i gällande lagstiftning. Det föreligger icke så vitt man kan finna någon sådan ändring. Det föreligger möjligen en mindre jämkning tillbaka till det, som av ålder ansetts vara gällande rätt i vårt land; dock icke av den beskaffenhet att man kan tala om en betydande ändring.</w:t>
        <w:br/>
        <w:br/>
        <w:t xml:space="preserve">Om jag nu skall säga några ord om de skäl, som tala för att icke göra dylika avtal om laglottens avstående utan vidare giltiga utan för giltigheten fordra att visst vederlag lämnats, vill jag först och främst hänvisa till önskvärdheten av att avtal ske mellan två jämbördiga parter. Barn ha icke en sådan jämbördig ställning med sina föräldrar, att de kunna anses handla av fri vilja, då de godkänna ett testamente av föräldrarna. De ha ofta av tillgivenhet till sina föräldrar och av en vana att lyda dem tillmötesgått deras önskningar. Vidare kan det också förekomma ekonomisk påtryckning, som gör, att de tvingas att godkänna testamentet. De ha alltså icke den ställning såsom avtalsträffande part, som man helst borde kräva för ett avtals giltighet. I enskilda fall kan det naturligtvis vara annorlunda. En son eller en </w:t>
      </w:r>
      <w:r>
        <w:rPr>
          <w:b/>
        </w:rPr>
        <w:t>dotter²</w:t>
      </w:r>
      <w:r>
        <w:rPr>
          <w:b w:val="0"/>
        </w:rPr>
        <w:t xml:space="preserve"> kan nämligen ha en mycket stark ekonomisk ställning, och hans eller </w:t>
      </w:r>
      <w:r>
        <w:rPr>
          <w:b/>
        </w:rPr>
        <w:t>hennes²</w:t>
      </w:r>
      <w:r>
        <w:rPr>
          <w:b w:val="0"/>
        </w:rPr>
        <w:t xml:space="preserve"> biträde vid avtalet kan då vara frivilligt. När det gäller lagstiftning får man väl emellertid fästa sig vid de regelmässiga förhållandena, och i detta fall vågar jag påstå, att ett barn icke i allmänhet har den ställningen, att dess anslutning till testamentet kan betraktas såsom ett fullgiltigt uttryck för dess vilja. Nu säger man, att det skulle vålla så mycken olägenhet, om man icke gav giltighet åt ett dylikt avtal. Ja, det är mycket möjligt att det kan förekomma, men jag har svårt att förstå det. Den nuvarande erfarenheten ger vid handen, att sådana avtal icke ha någon större räckvidd. Jag tror, att de förekomma ganska sällan. Jag tror, att föräldrar i allmänhet icke begära sina barns förhandsgodkännande utan skriva sitt testamente samt lita på barnens lojalitet, så att dessa vid deras dödsfall skola respektera deras vilja. Jag tror mig hava ganska god erfarenhet på detta område, då jag under många år dels som advokat och dels därefter som domare haft att taga befattning med makars ömsesidiga testamenten. Det vanligaste fallet är utan tvivel, att ett inbördes testamente upprättas utan något godkännande av barnen, och när föräldrarna underrättas om, att laglotten under alla omständigheter kan påyrkas av barnen — ett testamente kan ju klandras på den grund att laglotten icke undantagits — säga de: »Vi lita på, att våra barn icke vidtaga en sådan åtgärd.» Däremot har åtminstone icke jag påträffat något starkare intresse hos föräldrarna för att erhålla några förhandsutfästelser.</w:t>
        <w:br/>
        <w:br/>
        <w:t>Ser jag på själva laglottens uppkomst och ändamål har den säkerligen varit avsedd att omöjliggöra förmögenhetsanhopning på få händer. Något laglottsinstitut har icke funnits t. ex. i England. Där har ju beträffande de större godsägarna utbildats det systemet, att fastigheten överlåtes av fadern till äldste sonen, och så hopas och sammanhålles förmögenheten på en hand. Det är en oskriven lag, som gäller inom många släkter. Regelmässigt går egendomen genom testamente från fader till son och vidare generationer igenom.</w:t>
        <w:br/>
        <w:br/>
        <w:t>Vill man nu slopa laglotten, möjliggör man att förmögenheten samlas på en</w:t>
        <w:br/>
        <w:br/>
        <w:t>hand. Det har i herr Fehrs motion ansetts vara önskvärt i vissa fall. Han anser, att om en förmögenhet består av exempelvis ett litet eget hem, skulle det kunna vara till stor fördel att kunna lämna detta till ett av barnen, därför att den då skulle bli till verklig nytta. Om förmögenheten däremot splittras, får ingen av arvingarna någon nytta av den. Jag tror, att detta resonemang är fullständigt falskt. Det skulle, som en föregående talare sade, bara väcka bitterhet hos de förbigångna barnen mot föräldrarna och mot det av syskonen, som fått tillgångarna. Syskonen skulle anse honom såsom en, den där ställt sig in och trängt undan dem från fädernearvet. Jag tror icke i allmänhet, att föräldrar, när de göra sitt testamente, hava annan tanke än att vilja vara så rättvisa som möjligt och därigenom bevara sig 1 barnens minne utan bittra bitankar. Det finnes ett mycket bättre sätt att ordna denna sak, vilket mycket förekommer bland allmogen. Det är att föreskriva, att den eller den sonen skall övertaga hemmanet till ett bestämt pris, som föräldrarna veta, att han kan rå med. Då få de andra barnen sedan del i köpeskillingen. Aven om den äldste sonen får en förmån, kränker det i regel icke laglotten för de andra. Det blir någon liten skillnad, men det går bra i en massa fall, utan att det framkallar missnöje hos syskonen.</w:t>
        <w:br/>
        <w:br/>
        <w:t>Här i Sverige tror jag icke på möjligheten att, om man slopar laglotten, man i större utsträckning skulle få seden, att den äldste sonen får egendomen. Det strider alltför mycket mot våra sedvänjor. Men, mina herrar, det finnes ett moment att beakta. Vi hava på programmet, att fideikommissen skola avskaffas. Där finnes traditionen, att den första egendomen skall gå från far till son. Om man slopar fideikommissen, så kan mycket väl kvarstå den seden, att det forna fideikommisset går från far till äldste sonen. Då kan man fråga: skall man underlätta detta genom att fadern redan under sin livstid skall kunna få samtliga barnens underskrift på ett avtal med ett sådant förbehåll, utan att de själva få någon som helst valuta? Det är en mycket viktig faktor att beakta, när man går att besluta i denna fråga.</w:t>
        <w:br/>
        <w:br/>
        <w:t xml:space="preserve">Det har sagts, att det vore märkvärdigt, om ett försörjningsavtal icke skulle kunna träffas, så att den, som tagit vård om föräldrarna, skulle få hela kvarlåtenskapen efter fadern eller modern. Men varför skall man använda den formen? Det kan göras i den form, att den, som tagit vård om föräldrarna, tillerkännes särskild ersättning för vården. Så ordnas det ofta, även utan att något direkt avtal föreligger. I bouppteckningarna upptages ofta ersättning till exempelvis den eller den </w:t>
      </w:r>
      <w:r>
        <w:rPr>
          <w:b/>
        </w:rPr>
        <w:t>dottern²</w:t>
      </w:r>
      <w:r>
        <w:rPr>
          <w:b w:val="0"/>
        </w:rPr>
        <w:t xml:space="preserve"> för så och så många års vård av den avlidna. På det sättet löses frågan. </w:t>
      </w:r>
      <w:r>
        <w:rPr>
          <w:b/>
        </w:rPr>
        <w:t>Dottern²</w:t>
      </w:r>
      <w:r>
        <w:rPr>
          <w:b w:val="0"/>
        </w:rPr>
        <w:t xml:space="preserve"> står då såsom fordringsägare 1 stället för såsom arvinge i fråga om den ersättning, som </w:t>
      </w:r>
      <w:r>
        <w:rPr>
          <w:b/>
        </w:rPr>
        <w:t>hon²</w:t>
      </w:r>
      <w:r>
        <w:rPr>
          <w:b w:val="0"/>
        </w:rPr>
        <w:t xml:space="preserve"> skall hava. </w:t>
      </w:r>
      <w:r>
        <w:rPr>
          <w:b/>
        </w:rPr>
        <w:t>Hon²</w:t>
      </w:r>
      <w:r>
        <w:rPr>
          <w:b w:val="0"/>
        </w:rPr>
        <w:t xml:space="preserve"> står i fullt lika säker ställning ändå. Ett sådant avtal misstyckes så gott som aldrig av arvingarna, utan de bruka finna det fullt rättvist. Det är mycket vanligt, att de frivilligt giva sådan ersättning, även om något avtal icke förekommit.</w:t>
        <w:br/>
        <w:br/>
        <w:t xml:space="preserve">Om man däremot möjliggör laglottens undanröjande genom avtal, kommer, därom är jag övertygad, detta att visa sig leda till ganska tråkiga förhållanden. Jag vill fästa uppmärksamheten särskilt på ett fall, som spelar en icke obetydlig roll nu för tiden. Det är det fall, att fadern eller modern gifter om sig. Det kommer exempelvis en styvmor i huset. Vi veta, huru </w:t>
      </w:r>
      <w:r>
        <w:rPr>
          <w:b/>
        </w:rPr>
        <w:t>kvinnans¹</w:t>
      </w:r>
      <w:r>
        <w:rPr>
          <w:b w:val="0"/>
        </w:rPr>
        <w:t xml:space="preserve"> makt ofta är stor. En </w:t>
      </w:r>
      <w:r>
        <w:rPr>
          <w:b/>
        </w:rPr>
        <w:t>kvinna¹</w:t>
      </w:r>
      <w:r>
        <w:rPr>
          <w:b w:val="0"/>
        </w:rPr>
        <w:t xml:space="preserve">, som får hand om en man med svag karaktär, gnatar sig lätt till ett testamente av det innehållet, att det skall gälla all egendomen. Sedan får fadern med sin auktoritet gentemot barnen dessas underskrift och godkännande. Så dör han. Hela förmögenheten går då till styvmodern. Snart dör även </w:t>
      </w:r>
      <w:r>
        <w:rPr>
          <w:b/>
        </w:rPr>
        <w:t>hon²</w:t>
      </w:r>
      <w:r>
        <w:rPr>
          <w:b w:val="0"/>
        </w:rPr>
        <w:t xml:space="preserve">, och då går kanske hela förmögenheten till </w:t>
      </w:r>
      <w:r>
        <w:rPr>
          <w:b/>
        </w:rPr>
        <w:t>hennes²</w:t>
      </w:r>
      <w:r>
        <w:rPr>
          <w:b w:val="0"/>
        </w:rPr>
        <w:t xml:space="preserve"> släktingar. Barnen äro då av med hela arvet. Jag förutsätter, att fadern fått hela egendomen efter den först döda makan, vilket är mycket vanligt. Ett</w:t>
        <w:br/>
        <w:br/>
        <w:t>sådant resultat får man anse vara ganska tråkigt. Jag känner till fall, då laglotten varit mycket välbehövlig för att motverka sådana överflyttningar av förmögenheter.</w:t>
        <w:br/>
        <w:br/>
        <w:t>Vidare är det det fall, då myndiga barn skriva under ett dylikt testamente och godkänna det, men det omyndiga barnens förmyndare icke får göra detta. När ett sådant testamente upprättats, äro sålunda de vid upprättandet myndiga barnen uteslutna från arv, under det att de omyndiga barnen, som kanske sedan vuxit upp och äro lika skickade att taga hand om sig själva som de äldre syskonen, hava fått sin laglott bevarad. Detta leder till slitningar inom familjen, och det kan aldrig vara nyttigt, att så sker.</w:t>
        <w:br/>
        <w:br/>
        <w:t>Jag har nu rätt mycket uppehållit mig även vid själva laglottsinstitutet. Det är klart, att dessa saker stå i mycket nära sammanhang. Anser man att laglotten bör finnas, så finnes det dock alltid möjligheten av olika meningar om avtalets giltighet. Men reservanterna hava gått vidare och bestämt fordrat utredning om laglottsinstitutet för att sedan, när denna utredning föreligger, taga ställning till huru den nu föreliggande detaljfrågan om giltigheten av avtal rörande laglotts avstående skall lösas. Jag får säga, att det sätt, varpå motionärerna tagit på detta ämne, synes icke stå i någon närmare kontakt med rättsuppfattningen hos det svenska folkets breda lager. Det har vitsordats från olika håll och även av en socialdemokratisk röst nyss, att laglotten har synnerligen starka rötter hos folket. Och enligt min erfarenhet — som visserligen icke är så allomfattande — har laglotten ytterst sällan lett till ledsamma resultat. Däremot har den i många fall förhindrat ojämnheter vid fördelningen av förmögenheten och därigenom verkat i rätt riktning.</w:t>
        <w:br/>
        <w:br/>
        <w:t>Ett par av motionärerna anse, att då laglotten är en kvarleva från det gamla släktarvet och bygger på en social och ekonomisk gemensamhet mellan släkten, så bör, när nu denna gemensamhet upphört eller försvagats, också tiden vara kommen för att avföra laglotten ur vårt rättsväsen. Men är det verkligen så, att den ekonomiska och sociala gemensamheten mellan barn och föräldrar upphört i vårt land? Det är en uppfattning, som för mig är fullständigt främmande. Jag tror, att denna gemensamhet lever med oförsvagad styrka inom vårt folk. Att på detta område skulle finnas en sådan uppluckring, att vi skulle vara mogna för avskaffande av ett sådant gammalt institut som laglotten, tror jag motionärerna äro bevisskyldiga för.</w:t>
        <w:br/>
        <w:br/>
        <w:t>Samma motionärer begära en förutsättningslös utredning, d. v. s. de säga, att lagberedningen har alltför mycket anknutit till nu rådande förhållanden och därför bibehållit laglotten. De begära en förutsättningslös utredning. Ar det meningen med den förutsättningslösa utredningen, att man icke skall taga hänsyn till, hur detta institut är förankrat i det svenska folkets rättsmedvetande? Den ställning, som menige man intar till detta institut, skall den icke räknas som en tämligen avgörande faktor vid frågans avgörande?</w:t>
        <w:br/>
        <w:br/>
        <w:t>Ja, herr talman, jag har intet vidare att tillägga till de synpunkter, som jag nu framfört. Jag tror, att det icke finnes bärande skäl för att nu lämna laglottsfrågan åt framtiden. Den löstes enligt min mening vid 1928 års riksdag, då arvslagen antogs. Då var det visserligen två personer i utskottet, som antecknat, att de anslutit sig till förslaget men ansett, att frågan om laglotten borde upptagas till närmare prövning vid det tillfälle, då testamentsrätten komme under riksdagens prövning. Men något försök att få denna passus in i utskottets protokoll såsom en del av motiveringen gjordes icke. Hade ett sådant försök gjorts, hade det — med den kännedom man har om stämningen i första lagutskottet — med säkerhet avvisats bestämt. I kamrarna gjordes heller icke något försök att inpressa denna reservation i motiveringen.</w:t>
        <w:br/>
        <w:br/>
        <w:t>Riksdagen hade alltså icke tillfälle att säga ja eller nej till en dylik motivering. Den har ingen annan betydelse, än att dessa båda herrar hava förbe-</w:t>
        <w:br/>
        <w:br/>
        <w:t>hållit sig frihet att taga upp frågan på nytt. Men riksdagen har icke gjort något sådant förbehåll. För min del har jag också haft den uppfattningen, att denna fråga var slutligen avgjord 1928, och jag trodde icke, att redan två år efteråt försök skulle göras att uppriva 1928 års beslut. Jag hoppas också att riksdagen icke skall vara villig att medverka härtill.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