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1860</w:t>
      </w:r>
    </w:p>
    <w:p>
      <w:r>
        <w:rPr>
          <w:b/>
        </w:rPr>
        <w:t xml:space="preserve">Datum: </w:t>
      </w:r>
      <w:r>
        <w:t>1930-04-03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Helge Bäcklund (Socialdemokraterna, man)</w:t>
      </w:r>
    </w:p>
    <w:p>
      <w:r>
        <w:rPr>
          <w:b w:val="0"/>
        </w:rPr>
        <w:t>Herr talman! Jag har tillsammans med fyra andra ledamöter av kammaren väckt en motion, vari hemställts att riksdagen må medgiva, att till framlidne sergeanten i förutvarande Kungl. Västgöta regementes reserv Charles Hilmer Carlssons efterlevande anhöriga må utbetalas det belopp, som skulle tillkommit dem, därest kungl. förordningen den 23 september 1927 (nr 364) angående befäl och civilmilitär personal i arméns reserver varit tillämplig å dem. Statsutskottet har nu ansett sig böra avstyrka bifall till motionen. Trots att jag förstår, att jag har mycket små utsikter att välta ett statsutskott, som är enhälligt så när som på en enda reservant, anser jag mig dock, herr talman, böra säga några ord, då de bestämmelser, som gälla för denna reservstatspersonal, både officerare och underofficerare, äro av den natur, att de torde behöva synas en smula i sömmarna.</w:t>
        <w:br/>
        <w:br/>
        <w:t xml:space="preserve">En del av de officerare och underofficerare på reservstat, som äro födda åren 1886 och 1887, ha blivit berättigade att för sina anhöriga få pensionsrätt enligt förordningen den 23 september 1927 (nr 364), då däremot andra, som äro födda under dessa år, inte få den pensionsrätten. Därest denne sergeant Carlsson, vars efterlevande det i motionen är fråga om, blivit befordrad ett år senare, alltså 1918 i stället för 1917, så hade han blivit berättigad att för sina efterlevande erhålla pension, om han avlidit i åldern 42—54 år. </w:t>
      </w:r>
      <w:r>
        <w:rPr>
          <w:b/>
        </w:rPr>
        <w:t>Änkan²</w:t>
      </w:r>
      <w:r>
        <w:rPr>
          <w:b w:val="0"/>
        </w:rPr>
        <w:t xml:space="preserve"> Carlsson blir alltså berövad rätt till pension, därför att </w:t>
      </w:r>
      <w:r>
        <w:rPr>
          <w:b/>
        </w:rPr>
        <w:t>hennes²</w:t>
      </w:r>
      <w:r>
        <w:rPr>
          <w:b w:val="0"/>
        </w:rPr>
        <w:t xml:space="preserve"> man fick befordran allaredan 1917. Hade han däremot fått befordran först 1918, så hade </w:t>
      </w:r>
      <w:r>
        <w:rPr>
          <w:b/>
        </w:rPr>
        <w:t>hon²</w:t>
      </w:r>
      <w:r>
        <w:rPr>
          <w:b w:val="0"/>
        </w:rPr>
        <w:t xml:space="preserve"> varit berättigad att få det belopp, varom motionen gäller. Dessa konstigheter äro en följd av att Carlsson enligt 1912 års befälsförordning gjorde sitt sista repetitionsmöte år 1924, som en följd av att han befordrats 1917. Hade han däremot fått sin befordran ett år senare, så skulle han hava fullgJort sitt sista repetitionsmöte 1928, och hans efterlämnade hade då enligt 1927 års reservbefälsförordning ägt uppbära reservunderofficerspensionens kapitalvärde av cirka 3,670 kronor.</w:t>
        <w:br/>
        <w:br/>
        <w:t>Såsom skäl för avslag å motionen har arméförvaltningens civila departement bl. a. åberopat ett fall, där departementets beslut blev överklagat men av kammarrätten fastställt. Jag vill naturligtvis inte klandra besluten såsom sådana, men nog inbjuda de bestämmelser, varefter sådana beslut bliva fattade, till ett övervägande, om icke bestämmelserna äro alltför stränga. De stöta 1 varje fall mitt rättsbegrepp, och jag tror säkert, att så skulle bliva fallet med det allmänna rättsbegreppet, därest det vore möjligt för en bredare allmänhet att få en inblick i sådana fall. Emellertid är det åberopade fallet icke likt det, varom nu motionerats. I det åberopade fallet Thärnesjöö var denne också 1 likhet med Carlsson född 1886, men han hade fått sin sergeantsbefordran 1918, alltså ett år senare än Carlsson, och var skyldig att fullgöra repetitionsövningar åren 1919, 1922 och 1925. Dessa voro av Thärnesjöö fullgjorda, då 1927 års förordning tillkom, men han blev därigenom skyldig att fullgöra ytterligare en repetitionsövning år 1928. Emellertid led han då av en svårartad hjärtsjukdom, som enligt läkarintyg omöjliggjorde hans inställelse till tjänstgöring. Han erhöll på den grund av vederbörande regements-</w:t>
        <w:br/>
        <w:br/>
        <w:t xml:space="preserve">sergeanten C. tionsövningen 1928 i vederbörlig ordning, och på grund därav hava arméför- H. Carlssons valtningens civila departement och kammarrätten kommit till det resultatet efterlevande. enligt bestämmelserna, att hans efterlämnade </w:t>
      </w:r>
      <w:r>
        <w:rPr>
          <w:b/>
        </w:rPr>
        <w:t>hustru²</w:t>
      </w:r>
      <w:r>
        <w:rPr>
          <w:b w:val="0"/>
        </w:rPr>
        <w:t xml:space="preserve"> inte är berättigad till (Forts.) — pension. Enligt nämnda ämbetsverks tolkning av förordningen synes framgå, att inga hinder för pensionens utbetalande förelegat, om Thärnesjöö avlidit före 1928 års repetitionsövnings början, alltså den repetitionsövning, som han vederbörligen hade befriats ifrån. Är det inte orimligt, frågar jag, att</w:t>
        <w:br/>
        <w:br/>
        <w:t>ha bestämmelser, som ge sådana resultat vid tillämpningen?</w:t>
        <w:br/>
        <w:br/>
        <w:t>Av vad jag anfört framgår, att bestämmelserna i 1927 års förordning i tilllämpningen äro alltför hårda och ge märkvärdiga resultat. Jag kan inte tro, att detta var avsikten vid förordningens tillkomst. Därför vågar jag begära, att Kungl. Maj:t måtte uppmärksamma detta förhållande och möjligen se till, att nödiga förändringar bliva vidtagna.</w:t>
        <w:br/>
        <w:br/>
        <w:t>Statsutskottet har sin vana troget sagt så litet som möjligt och helt stött sig på det infordrade yttrandet. Vad som förefaller mig märkvärdigt är, att inte ett ord yttrats om frågan ur billighetshänsyn och i betraktande av de ömmande omständigheterna i det enstaka fallet. Då motion väcktes 1927, gällde det samtliga i de angivna åldersklasserna, men nu gäller det ett enstaka fall, där det föreligger vederbörligen avgivit medellöshetsintyg, vilket åtföljt motionen. Att utskottet i det hänseendet inte sagt ett ord förefaller anmärkningsvärt. Det borde väl gjort någon skillnad, så att inte den principiella frågan för samtliga ifrågavarande personer fått vara avgörande även nu.</w:t>
        <w:br/>
        <w:br/>
        <w:t xml:space="preserve">Skulle det emellertid gå så, att utskottets förslag här bifalles, så hemställer Jag till regeringen, huruvida inte vid eventuell ansökan den </w:t>
      </w:r>
      <w:r>
        <w:rPr>
          <w:b/>
        </w:rPr>
        <w:t>änka²</w:t>
      </w:r>
      <w:r>
        <w:rPr>
          <w:b w:val="0"/>
        </w:rPr>
        <w:t>, det här är fråga om, kunde få sin pension ur det belopp av 30,000 kronor, som riksdagen beslutat ställa till Kungl. Maj:ts förfogande för understöd åt efterlevande efter befattningshavare i statens tjänst.</w:t>
        <w:br/>
        <w:br/>
        <w:t xml:space="preserve">Emellertid anser jag mig, herr talman, ha fullt skäl att yrka bifall till motionen. Ty jag anser att denna personal och dess efterlevande blivit så missgynnade, att ett bifall till denna motion, som tar sikte på ett enstaka fall ur killighetshänsyn, är väl motiverat. Det gäller här en människa, som lever under fattiga omständigheter, och jag tror inte, att alla dessa principiella betänkligheter bort få vara avgörande i detta fall, när det är fråga om en enda </w:t>
      </w:r>
      <w:r>
        <w:rPr>
          <w:b/>
        </w:rPr>
        <w:t>änka²</w:t>
      </w:r>
      <w:r>
        <w:rPr>
          <w:b w:val="0"/>
        </w:rPr>
        <w:t xml:space="preserve"> och alltså inte alla dessa befattningshavares efterlevande.</w:t>
        <w:br/>
        <w:br/>
        <w:t>Jag hemställer, herr talman, om bifall till motionen.</w:t>
      </w:r>
    </w:p>
    <w:p>
      <w:pPr>
        <w:pStyle w:val="Heading2"/>
      </w:pPr>
      <w:r>
        <w:t>2. Björn Frithiofsson Holmgren (Lantmanna- och borgarepartiet inom andrakammaren, man)</w:t>
      </w:r>
    </w:p>
    <w:p>
      <w:r>
        <w:rPr>
          <w:b w:val="0"/>
        </w:rPr>
        <w:t xml:space="preserve">Herr talman! Utskottets utlåtande i denna fråga är åtföljt av ett längre yttrande, avgivet av arméförvaltningens civila departement och undertecknat av dess chef, generalkrigskommissarien Widell, som också deltagit i frågans behandling i utskottet och där varit i tillfälle att klart och övertygande visa, såsom även står i detta utlåtande, att denna </w:t>
      </w:r>
      <w:r>
        <w:rPr>
          <w:b/>
        </w:rPr>
        <w:t>änka²</w:t>
      </w:r>
      <w:r>
        <w:rPr>
          <w:b w:val="0"/>
        </w:rPr>
        <w:t xml:space="preserve"> alls icke har någon rätt att få någon som helst hjälp eller understöd från statens sida. Utskottets beslut har i enlighet därmed också blivit ett blankt avslag på den föreliggande motionen.</w:t>
        <w:br/>
        <w:br/>
        <w:t xml:space="preserve">Jag har emellertid tillåtit mig att anteckna mig såsom reservant. Det är alldeles uppenbart, att hade denna </w:t>
      </w:r>
      <w:r>
        <w:rPr>
          <w:b/>
        </w:rPr>
        <w:t>änka²</w:t>
      </w:r>
      <w:r>
        <w:rPr>
          <w:b w:val="0"/>
        </w:rPr>
        <w:t xml:space="preserve"> haft någon som helst rätt till pension, så hade varken herr Bäcklund eller någon annan behövt vända sig till riksdagen. Ty då hade </w:t>
      </w:r>
      <w:r>
        <w:rPr>
          <w:b/>
        </w:rPr>
        <w:t>hon²</w:t>
      </w:r>
      <w:r>
        <w:rPr>
          <w:b w:val="0"/>
        </w:rPr>
        <w:t xml:space="preserve"> fått det på annat sätt. Då hade </w:t>
      </w:r>
      <w:r>
        <w:rPr>
          <w:b/>
        </w:rPr>
        <w:t>hon²</w:t>
      </w:r>
      <w:r>
        <w:rPr>
          <w:b w:val="0"/>
        </w:rPr>
        <w:t xml:space="preserve"> kunnat</w:t>
        <w:br/>
        <w:br/>
        <w:t xml:space="preserve">gå den vanliga administrativa vägen. Sålunda, att arméförvaltningens civila Ang. ifrågadepartement styrker, att </w:t>
      </w:r>
      <w:r>
        <w:rPr>
          <w:b/>
        </w:rPr>
        <w:t>hon²</w:t>
      </w:r>
      <w:r>
        <w:rPr>
          <w:b w:val="0"/>
        </w:rPr>
        <w:t xml:space="preserve"> inte har någon rätt till pension, det är som ett pa utbalar goddag-yxskaft. Något annat är det inte. Vad som gjort, att jag ansett belopp till mig böra ställa mig som reservant och jämväl underteckna motionen är det sergeanten C. förhållandet, att om denna </w:t>
      </w:r>
      <w:r>
        <w:rPr>
          <w:b/>
        </w:rPr>
        <w:t>änkas²</w:t>
      </w:r>
      <w:r>
        <w:rPr>
          <w:b w:val="0"/>
        </w:rPr>
        <w:t xml:space="preserve"> man, avlidne sergeanten Carlsson, inte varit 4- Carlssons fullt så skicklig och duglig, som han var, utan så pass mycket svagare, att ”/ferlevande. han blivit utnämnd till sergeant först ett år senare, än han nu faktiskt blev, (Forts:) så hade hans </w:t>
      </w:r>
      <w:r>
        <w:rPr>
          <w:b/>
        </w:rPr>
        <w:t>änka²</w:t>
      </w:r>
      <w:r>
        <w:rPr>
          <w:b w:val="0"/>
        </w:rPr>
        <w:t xml:space="preserve"> varit fullt berättigad att få understöd enligt av riksdagen antagna bestämmelser. Sålunda har den omständigheten, att denne man varit alltför skicklig, gjort, att hans </w:t>
      </w:r>
      <w:r>
        <w:rPr>
          <w:b/>
        </w:rPr>
        <w:t>änka²</w:t>
      </w:r>
      <w:r>
        <w:rPr>
          <w:b w:val="0"/>
        </w:rPr>
        <w:t xml:space="preserve"> icke kan komma i åtnjutande av lagenligt understöd. Då synes mig detta vara ett typiskt gränsfall vid övergången till nya bestämmelser, där riksdagen bör ha moralisk skyldighet att följa den gamla goda domarregeln: hellre fria än fälla.</w:t>
        <w:br/>
        <w:br/>
        <w:t>Jag tillåter mig därför instämma i det yrkande, som nyss gjorts av herr Bäcklund, om bifall till motionen.</w:t>
      </w:r>
    </w:p>
    <w:p>
      <w:pPr>
        <w:pStyle w:val="Heading2"/>
      </w:pPr>
      <w:r>
        <w:t>3. Algot Törnkvist (Socialdemokraterna, man)</w:t>
      </w:r>
    </w:p>
    <w:p>
      <w:r>
        <w:rPr>
          <w:b w:val="0"/>
        </w:rPr>
        <w:t>Herr talman! Det är två saker, som jag först vill erinra om. Den första är, att jag ju i denna kammare har ett stadgat rykte, höll jag på att säga, att taga hand om änkor och faderlösa barn, särskilt om de äro från Karlskrona. Nu anser jag visserligen inte, att det är berättigat att påstå, att detta tagit några orimliga proportioner. Men det bör väl åtminstone kunna anses innebära en garanti för att jag i sådana här fall inte vill gå alltför strängt och hårdhjärtat fram. Den andra saken är, att jag inte haft tillfälle deltaga i detta ärendes behandling på avdelningen, och jag står alltså så tillvida icke ansvarig för avdelningens beslut. Dock har jag ju varit med vid behandlingen i utskottsplenum, men där förekom icke någon diskussion. Jag har alltså satt mitt namn under utskottets betänkande, och ber att få säga några ord.</w:t>
        <w:br/>
        <w:br/>
        <w:t>Arméförvaltningens civila departement har i sitt avgivna utlåtande över denna motion framhållit sådana betänkligheter mot att gå den väg, motionärerna föreslagit, att jag tar för givet, att jag, därest jag suttit med vid detta ärendes behandling i första avdelningen, inte hade vågat gå emot de synpunkter, som civila departementet framfört. Det är uppenbart, att det här inte kan vara nog med att föra fram blott de humanitära synpunkterna. De skola föras fram och verka avgörande i sådana fall, som kunna sägas vara isolerade och stå utan samband med gällande författningsbestämmelser och som alltså icke föra med sig omedelbara konsekvenser av sådan beskaffenhet, att de icke kunna överblickas. Nu omtalar emellertid civila departementet i sitt utlåtande, att om riksdagen skulle gå in för ett bifall till motionen, så skulle automatiskt i kraft av gällande bestämmelser en hel mängd personer komma att bli berättigade till liknande understöd, och vi skulle sålunda komma att fatta ett beslut, om vars ekonomiska konsekvenser vi i dag icke ha en aning. Även om jag vill vara aldrig så human mot dessa fattiga människor och skulle vilja ge understöd, när det gäller isolerade fall, så måste jag därför, åtminstone för ögonblicket, säga, att skall man gå in för yrkandet i motionen, så måste motionären eller någon annan här i kammaren kunna stiga upp och säga, att de uppgifter, som civila departementet här lämnat, icke äro riktiga. Men då icke någon gjort detta utan dessa uppgifter stå oemotsagda, så anser jag, herr förste vice talman, det vara ganska äventyrligt att i detta sammanhang gå in för motionärernas förslag.</w:t>
        <w:br/>
        <w:br/>
        <w:t xml:space="preserve">Däremot skall jag gärna för min del understödja den vädjan, som här ställdes till departementschefen och regeringen. Denna vädjan anser jag vara berättigad med hänsyn till innebörden i riksdagens beslut rörande </w:t>
      </w:r>
      <w:r>
        <w:rPr>
          <w:b/>
        </w:rPr>
        <w:t>änkepensione²</w:t>
      </w:r>
      <w:r>
        <w:rPr>
          <w:b w:val="0"/>
        </w:rPr>
        <w:t>-</w:t>
        <w:br/>
        <w:br/>
        <w:t xml:space="preserve">ring. Det synes berättigat att i det sammanhanget denna </w:t>
      </w:r>
      <w:r>
        <w:rPr>
          <w:b/>
        </w:rPr>
        <w:t>änkas²</w:t>
      </w:r>
      <w:r>
        <w:rPr>
          <w:b w:val="0"/>
        </w:rPr>
        <w:t xml:space="preserve"> intressen tagas under omprövning hos regeringen. Och det skulle kanske vara rimligt och riktigt, att motionären gör en formlig framställning därom till regeringen eller ställer om, att </w:t>
      </w:r>
      <w:r>
        <w:rPr>
          <w:b/>
        </w:rPr>
        <w:t>änkan²</w:t>
      </w:r>
      <w:r>
        <w:rPr>
          <w:b w:val="0"/>
        </w:rPr>
        <w:t xml:space="preserve"> själv gör det. Jag tror, att det med hänsyn till frågans beskaffenhet är fördelaktigast, att motionären koncentrerar sig på att gå den vägen.</w:t>
        <w:br/>
        <w:br/>
        <w:t>Jag anhåller, herr förste vice talman, att få yrka bifall till utskottets hemställan.</w:t>
      </w:r>
    </w:p>
    <w:p>
      <w:pPr>
        <w:pStyle w:val="Heading2"/>
      </w:pPr>
      <w:r>
        <w:t>4. Helge Bäcklund (Socialdemokraterna, man)</w:t>
      </w:r>
    </w:p>
    <w:p>
      <w:r>
        <w:rPr>
          <w:b w:val="0"/>
        </w:rPr>
        <w:t xml:space="preserve">Herr talman! Den sista ärade talaren trodde, att ett bifall till motionen skulle draga med sig farliga konsekvenser. Han meddelade strax förut, att han icke suttit på avdelningen, när detta ärende där behandlades. Och det kan jag förstå. Ty jag antar väl ändå, att man där måste ha fått uppgift om vad frågan här egentligen gäller. Jag har här uppgift på hur många befattningshavare, officerare och underofficerare på reservstat, som det här är fråga om. År 1927 gällde det samtliga, men nu ha vi ju tagit fram bara ett enda isolerat fall, där billighetshänsynen borde kunna få fälla utslaget. Men om jag tar med alla, som här kunna komma i fråga, så äro siffrorna följande. Av dem, som äro födda 1886, finnas 33 officerare och 46 underofficerare, summa 79, av årsklassen 1887 14 officerare och 39 underofficerare, summa 53, samt av årsklassen 1888 27 officerare och 22 underofficerare, summa 49. Det är alltså lätt att räkna ut, att det här icke kan bli tal om många fall. Det är ju nämligen fråga om endast dem av dessa befattningshavare, som avlida i åldern 42—54 år, alltså i en ålder, där inte så värst stor dödlighet förekommer i allmänhet och i synnerhet inte bland detta slags befattningshavare. Det kan sålunda knappast bli annat än något enstaka fall, även om det nu gällde alla, som härvidlag kunna komma i fråga. Men här är det som sagt bara fråga om en enda fattig </w:t>
      </w:r>
      <w:r>
        <w:rPr>
          <w:b/>
        </w:rPr>
        <w:t>änka²</w:t>
      </w:r>
      <w:r>
        <w:rPr>
          <w:b w:val="0"/>
        </w:rPr>
        <w:t xml:space="preserve">. Jag vet inte, om det finns någon enda mer, som har det ställt på samma sätt som denna </w:t>
      </w:r>
      <w:r>
        <w:rPr>
          <w:b/>
        </w:rPr>
        <w:t>änka²</w:t>
      </w:r>
      <w:r>
        <w:rPr>
          <w:b w:val="0"/>
        </w:rPr>
        <w:t>, utom det fall givetvis, som omtalas i civila departementets skrivelse. Så ligger saken i verkligheten till.</w:t>
        <w:br/>
        <w:br/>
        <w:t xml:space="preserve">Jag tackar den siste ärade talaren för att han instämde med mig därutinnan, att Kungl. Maj:t borde tillse, huruvida icke i annat sammanhang någon hjälp kunde lämnas. När jag fått sådant understöd från statsutskottshåll, så hoppas jag, därest det nu inte lyckas här i kammaren i dag att få igenom ett beslut om pension åt denna </w:t>
      </w:r>
      <w:r>
        <w:rPr>
          <w:b/>
        </w:rPr>
        <w:t>änka²</w:t>
      </w:r>
      <w:r>
        <w:rPr>
          <w:b w:val="0"/>
        </w:rPr>
        <w:t>, att Kungl. Maj:t åtminstone ser till, vad som kan göras i saken. Ty de gällande bestämmelserna äro enligt mitt sätt att se absolut otillfredsställande, och den tolkning, de fått, är hård och obarmhärtig mot fattiga människor.</w:t>
      </w:r>
    </w:p>
    <w:p>
      <w:pPr>
        <w:pStyle w:val="Heading2"/>
      </w:pPr>
      <w:r>
        <w:t>5. Anders Råstock (Socialdemokraterna, man)</w:t>
      </w:r>
    </w:p>
    <w:p>
      <w:r>
        <w:rPr>
          <w:b w:val="0"/>
        </w:rPr>
        <w:t xml:space="preserve">Herr talman! Jag trodde, att herr Bäcklund skulle ha kunnat nöja sig med ett instämmande i hans synpunkter beträffande möjligheten för Kungl. Maj:t att inom ramen av det anslag, som nyligen ställts till Kungl. Maj:ts förfogande, lämna skäligt belopp till ifrågavarande </w:t>
      </w:r>
      <w:r>
        <w:rPr>
          <w:b/>
        </w:rPr>
        <w:t>änka²</w:t>
      </w:r>
      <w:r>
        <w:rPr>
          <w:b w:val="0"/>
        </w:rPr>
        <w:t>. Om det kan göra någon nytta, skall jag be att få instämma med herr Törnkvist i Karlskrona, och då får herr Bäcklund inregistrera ännu en av oss, som anser att man bör undersöka denna sak litet noggrannare.</w:t>
        <w:br/>
        <w:br/>
        <w:t>Det var emellertid icke för att säga detta, som jag begärde ordet, utan för att konstatera att herr Bäcklund icke kunde komma ifrån, att det finns en hel rad fall, som skulle kunna tänkas bli behandlade efter samma norm, Det är detta jag velat påpeka, och jag finner att kammaren gör klokt i att icke utan vidare gå emot arméförvaltningens civila departement, som påpekat konsekvenserna av att fatta ett till äventyrs förhastat beslut i denna fråga. Herr talman, jag yrkar bifall till utskottets förslag.</w:t>
      </w:r>
    </w:p>
    <w:p>
      <w:pPr>
        <w:pStyle w:val="Heading2"/>
      </w:pPr>
      <w:r>
        <w:t>6. Algot Törnkvist (Socialdemokraterna, man)</w:t>
      </w:r>
    </w:p>
    <w:p>
      <w:r>
        <w:rPr>
          <w:b w:val="0"/>
        </w:rPr>
        <w:t>Herr talman! Här föreligger ett ärende, i vilket ett antal reservanter funnit anledning att gå in för en avvikande mening och yrka avslag på utskottets hemställan. Frågan berör huvudsakligen en fejd mellan två samhällen om ett järnvägsintresse. Det gäller städerna Oskarshamn och Kalmar. De båda järnvägar det här är fråga om, vilka varit knutna till Oskarshamn, ha i ekonomiskt avseende icke burit sig, och framställning har gjorts till vederbörande, i detta fall riksgäldsfullmäktige, om att åtgärder skulle vidtagas för affärernas sanering genom en reglering av statslånet. Riksgäldsfullmäktige ha ställt sig välvilliga till framställningen, och man har gått in för att från järnvägsbolagen avlyfta en ganska avsevärd del av deras skuld. Det förslag till uppgörelse, som uppgjorts, innebar, att statens fordran i Ruda —Oskarshamns och Ruda—Älghults järnvägar skulle nedskrivas till 525,000</w:t>
        <w:br/>
        <w:br/>
        <w:t>dare åtgärder, framträdde ett intresse nere i Kalmar omkring Kalmarjärnvä-</w:t>
        <w:br/>
        <w:br/>
        <w:t>vägsanlägg- GAINa. Ett erbjudande därifrån gjordes, förhandlingar kommo till stånd med ningar inom Kalmar läns östra järnvägsaktiebolag, och slutligen har på grundval av detta Kalmar län. anbud det nu föreliggande förslaget kommit fram till riksdagen. Nu är det att</w:t>
        <w:br/>
        <w:br/>
        <w:t xml:space="preserve">märka, att den nyss nämnda uppgörelsen med Oskarshamn innehöll alldeles samma villkor för staten som den uppgörelse med Kalmar läns östra järnvägsaktiebolag, vilken presenterats riksdagen. Vad som givit det senare alternativet övertaget vid riksgäldsfullmäktiges överväganden har varit, att man med hänsyn till att Kalmarjärnvägarnas ekonomi är bättre än ovannämnda båda järnvägars funnit, att vid en dylik uppgörelse dessas framtida ekonomiska ställning skulle komma i ett gynnsamt läge, ja att garantier skulle vinnas för deras fortsatta trafikering under ekonomiskt betryggande former. Riksdagen har nu den delikata uppgiften att vara ett slags skiljedomare mellan två lokaliteter, mellan två städer. Nu kunna visserligen riksgäldsfullmäktige från sina synpunkter — och kanske också regeringen, här närmast kommunikationsministern — säga, att uppgörelsen är fördelaktig för Oskarshamns stad, och detta har man också sagt. Jag tror emellertid icke, att detta är så obestridligt, att man bör låta det stå oemotsagt. Befolkningen i Oskarshamn hävdar bestämt, att uppgörelsen icke är fördelaktig. De protestera emot, att förvaltningen över dessa järnvägar utövas från Kalmar, och de äro beredda att göra de uppoffringar, som behöva göras, i avvaktan på en framtida väntad och, som de hoppas, gynnsam utveckling av järnvägarnas trafik och ekonomi. De vilja icke vara med om att frågan löses på ett sådant sätt som riksgäldsfullmäktige här föreslagit. Det är inga platoniska protester, som invånarna i detta samhälle gjort, utan deras protester äro bestämda och ganska allvarliga, och man får vid läsningen därav det bestämda intrycket, att det gäller en hjärtesak för dem att icke bliva behandlade på det sätt, som i propositionen föreslås. Det är att märka, att länsstyrelsen i Kalmar län gått emot den lösning av frågan, som riksgäldsfullmäktige förordat. På sidan 18 i propositionen återfinnes länsstyrelsens uttalande. Man framhåller där, att man bör utreda frågan om en sammanslagning av alla de i södra delen av Kalmar län och angränsande delar av närliggande län befintliga smalspåriga järnvägarnas förvaltning, och det heter: » Särskilt synes det länsstyrelsen, som om en sådan utredning i det nu föreliggande fallet åtminstone bort omfatta en sammanslagning av Oskarshamnsjärnvägarna jämväl med Östra Värends järnväg, som trafikerar fortsättningen av järnvägslinjen från Älghult åt Växjö, genom vilken järnvägslinje en rak förbindelse erhållits från sistnämnda stad till kusten. Länsstyrelsen är därför av den uppfattningen, att, innan den föreliggande frågan slutligen prövas, en dylik utredning bör äga rum.&gt; Och vidare: »Beträffande det av Kalmar läns östra järnvägsaktiebolag senare avgivna anbud att genom ett för ändamålet bildat </w:t>
      </w:r>
      <w:r>
        <w:rPr>
          <w:b/>
        </w:rPr>
        <w:t>dotterbolag²</w:t>
      </w:r>
      <w:r>
        <w:rPr>
          <w:b w:val="0"/>
        </w:rPr>
        <w:t xml:space="preserve"> övertaga järnvägarna synas några vägande skäl för en sådan anordning ej förebragts. Enligt vad länsstyrelsen under hand inhämtat föreligger från sistnämnda järnvägsbolags sida ej heller något större intresse för ett dylikt övertagande, utan lärer huvudskälet vara, att likformighet i frakttarifferna härigenom lättare skulle åvägabringas, en fråga som emellertid torde kunna utan större svårigheter på annat sätt ordnas.» Och vidare heter det: » Då, såsom riksgäldskontoret anfört, de avgivna anbuden äro från statens synpunkt i ekonomiskt avseende likvärdiga och i betraktande av de enhälliga protester mot det av Kalmar läns östra järnvägsaktiebolag framförda förslag, som från ortsbefolkningens sida till länsstyrelsen ingivits, anser länsstyrelsen för den skull, att en sammanslagning av järnvägarna icke, åtminstone för närvarande, bör mot Oskarshamnsbolagens bestridande genomföras.»</w:t>
        <w:br/>
        <w:br/>
        <w:t>Lördagen den 5 april e. m. 97 Nr 2. Vägoch vattenbyggnadsstyrelsen anför: »Då borgen för statslånet i varje Ang. rr fall skulle erhållas, har staten i egenskap av långivare icke någon anledning av Yatslän för att föredraga trafikfusionen med Kalmar—Berga järnväg framför en reglering vissa järnav Oskarshamnsbanornas ekonomiska ställning utan dylik fusion. Det kan därvägsanläggför ifrågasättas, huruvida staten bör vidtaga en sådan åtgärd som tvångsfusion Kalmar lärs för att tillgodose det av förslagsställaren angivna ändamålet att borttaga en (Forts) " trafikbarriär, vilket tyckes vara ett staten som långivare ovidkommande in- | tresse. Hela det enskilda järnvägsnätet har ju i övrigt sin frihet i dylikt avseende, utan att staten därmed tager befattning; och därför torde också staten hava anledning att därutinnan iakttaga försiktighet i ett enstaka fall och sålunda ej begagna sin genom statslånet givna makt på här föreslaget sätt annat än om synnerligt skäl därtill finnes.»</w:t>
        <w:br/>
        <w:br/>
        <w:t>Det förefaller, som om dessa uttalanden, framför allt uttalandet från läns-</w:t>
        <w:br/>
        <w:br/>
        <w:t>styrelsen, vars kvalifikation att bedöma ärendet torde vara odisputabel, väl överensstämma med de synpunkter jag här lagt på frågan, och som om riksdagen borde vara mycket försiktig när det gäller att uppträda som skiljedomare i en strid mellan två städers intressen. Mig synes det riktiga vara, att om riksdagen skall nödgas fatta en positiv ståndpunkt till förmån för den ena av parterna, den andra parten icke med fog skall kunna föra fram anklagelsen, att icke alla utvägar att lösa frågan opartiskt försökts. Vi ha alla en tillräcklig erfarenhet från olika delar av landet av de synpunkter städerna lägga på förvaltningen av järnvägarna och inflytandet på ledningen av dem för att kunna bilda oss en uppfattning om det befogade i Oskarshamns stads protester mot den ifrågasatta åtgärden, särskilt som man där tror, att det likväl finns en möjlighet att lösa spörsmålet utan nu föreslagna fusion av järnvägsföretagen och på ett sätt, som tillförsäkrar staden ett avgörande inflytande över de värden man lagt ned och de företag man gjort så stora ekonomiska uppoffringar för. Jag har funnit det vara angeläget att rikta riksdagens uppmärksamhet på frågans verkliga innebörd. Jag förstår mycket väl riksgäldsfullmäktiges och regeringens synpunkter, att det är rationellt ur statsfinansiell synpunkt att på detta sätt söka reda upp ekonomien för järnvägarna i fråga, och det är klart, att såväl herr kommunikationsministern som riksgäldskontoret kan säga, att järnvägarnas ekonomiska framtid sannolikt bättre säkras genom ifrågavarande fusion. Det ligger emellertid betydande värden i ett samhälles missnöje eller belåtenhet i en fråga som denna, och man bör icke utan vidare giva sig in på en sådan skiljedomaregärning, som man nu vill inbjuda riksdagen till. Jag tror, herr talman, att det skulle vara klokt, om riksdagen nu avsloge framställningen och i avvaktan på en ny framställning ett kommande år föranstaltade undersökningar i ärendet, så att Oskarshamns stad eller något annat samhälle icke skall kunna säga, att man icke undersökt alla utvägar att lösa spörsmålet med bibehållande av ledningen över järnvägarna hos Oskarshamn. Ty, herr talman, till slut: det är icke tillräckliga garantier för staden, att den har ett par ledamöter i en Järnvägsstyrelse placerad på en annan ort, då styrelsen består kanske av 7 å 8 eller flera personer. Det medför en rätt att yttra sig, som många gånger är mycket platonisk.</w:t>
        <w:br/>
        <w:br/>
        <w:t>Herr talman, jag hemställer om bifall till den reservation, som finnes fogad vid utlåtandet, och vilken innebär avslag på Kungl. Maj:ts proposition och bifall till motionerna.</w:t>
        <w:br/>
        <w:br/>
        <w:t>I detta yttrande, under vilket herr talmannen återtagit ledningen av förhandlingarna, instämde herrar Wirsell, Carlsson-Frosterud och Vistberg.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