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628</w:t>
      </w:r>
    </w:p>
    <w:p>
      <w:r>
        <w:rPr>
          <w:b/>
        </w:rPr>
        <w:t xml:space="preserve">Datum: </w:t>
      </w:r>
      <w:r>
        <w:t>1930-05-07</w:t>
      </w:r>
    </w:p>
    <w:p>
      <w:r>
        <w:rPr>
          <w:b/>
        </w:rPr>
        <w:t xml:space="preserve">Kammare: </w:t>
      </w:r>
      <w:r>
        <w:t>Första kammaren</w:t>
      </w:r>
    </w:p>
    <w:p>
      <w:r>
        <w:rPr>
          <w:b/>
        </w:rPr>
        <w:t xml:space="preserve">Antal yttranden: </w:t>
      </w:r>
      <w:r>
        <w:t>6</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Carl Svensson (Socialdemokraterna, man)</w:t>
      </w:r>
    </w:p>
    <w:p>
      <w:r>
        <w:rPr>
          <w:b w:val="0"/>
        </w:rPr>
        <w:t>Inom utskottet har man med undantag av herr Lindley varit ense om, att denna framställning från Kungl. Maj:ts sida icke med bibehållande av den praxis, som hittills är tillämpad, kan bifallas. Det skulle innebära att bevilja pension till befattningshavare, som tidigare icke ha erhållit dylik under sådana omständigheter, som här äro rådande. Jag hänvisar till vad utskottet har anfört och yrkar bifall till utskottets hemställan.</w:t>
        <w:br/>
        <w:br/>
        <w:t xml:space="preserve">gren, samt makarnas minderåriga barn Sara Greta Birgitta, Sara Göta Margareta, Sara Hilja Elisabet, Karl-Olov Sigvard och Erik-Olov Daniel finge, räknat från och med den 1 april 1929, å allmänna indragningsstaten uppbära en årlig pension. </w:t>
      </w:r>
      <w:r>
        <w:rPr>
          <w:b/>
        </w:rPr>
        <w:t>änkan²</w:t>
      </w:r>
      <w:r>
        <w:rPr>
          <w:b w:val="0"/>
        </w:rPr>
        <w:t xml:space="preserve"> med 900 kronor, så länge </w:t>
      </w:r>
      <w:r>
        <w:rPr>
          <w:b/>
        </w:rPr>
        <w:t>hon²</w:t>
      </w:r>
      <w:r>
        <w:rPr>
          <w:b w:val="0"/>
        </w:rPr>
        <w:t xml:space="preserve"> förbleve </w:t>
      </w:r>
      <w:r>
        <w:rPr>
          <w:b/>
        </w:rPr>
        <w:t>änka²</w:t>
      </w:r>
      <w:r>
        <w:rPr>
          <w:b w:val="0"/>
        </w:rPr>
        <w:t>, samt varje barn med 180 kronor intill utgången av det kalenderår, varunder det uppnått 18 års ålder.</w:t>
      </w:r>
    </w:p>
    <w:p>
      <w:pPr>
        <w:pStyle w:val="Heading2"/>
      </w:pPr>
      <w:r>
        <w:t>2. Carl Immanuel Asplund (Socialdemokraterna, man)</w:t>
      </w:r>
    </w:p>
    <w:p>
      <w:r>
        <w:rPr>
          <w:b w:val="0"/>
        </w:rPr>
        <w:t xml:space="preserve">I denna punkt har utskottet tillstyrkt bifall till en av Kungl. Maj:t gjord framställning om att till lappfogden Johan Olof Holms </w:t>
      </w:r>
      <w:r>
        <w:rPr>
          <w:b/>
        </w:rPr>
        <w:t>änka²</w:t>
      </w:r>
      <w:r>
        <w:rPr>
          <w:b w:val="0"/>
        </w:rPr>
        <w:t xml:space="preserve"> och fem minderåriga barn på allmänna indragningsstaten bevilja en årlig pension åt </w:t>
      </w:r>
      <w:r>
        <w:rPr>
          <w:b/>
        </w:rPr>
        <w:t>änkan²</w:t>
      </w:r>
      <w:r>
        <w:rPr>
          <w:b w:val="0"/>
        </w:rPr>
        <w:t xml:space="preserve"> av 900 kronor och åt varje barn av 180 kronor. tills de fvlla 18 år. Med anledning av denna proposition har jag jämte herrar Bergqvist, Evert Jonsson, J. P. Johansson och D. Hansén väckt en motion, däri vi med åberopande av vad särskilt länsstyrelsen i Norrbottens län framhållit och med hänsyn till att en föregående riksdag beviljat en annan lappfogde, lappfogden i Jämtlands län, en pension i enlighet med Jlönegraden B 24, hemställt, att Holms efterlevande måtte erhålla en pension, som svarar mot den, som tillkommer efterlevande i nämnda lönegrad, B 24. Länsstyrelsen hade för sin del föreslagit, att pensionen skulle utgå enligt lönegraden B 26, som hade ställts i utsikt för Holm att uppnå, i fall han skulle kvarbliva vid sitt lappfogdeförordnande. ehuru han kunde få ett lugnare arbete genom att kvarstå såsom folkskoleinspektör i Nedre Tornedalen, där han då skulle ha fått en pension efter lönegraden B 24. Utskottet har liksom Kungl. Maj:t icke ansett sig kunna gå vare sig så långt som länsstyrelsen i Norrbotten har föreslagit eller som riksdagen beslutat beträffande lappfogden Staaff, utan både av Kungl. Maj:t och av bankoutskottet har pensionen som sagt begränsats till 900 kronor för </w:t>
      </w:r>
      <w:r>
        <w:rPr>
          <w:b/>
        </w:rPr>
        <w:t>änkan²</w:t>
      </w:r>
      <w:r>
        <w:rPr>
          <w:b w:val="0"/>
        </w:rPr>
        <w:t xml:space="preserve"> och 180 kronor för varje barn, och detta har skett under åberopande dels av att en viss behållning 1 boet fanns efter Holm, dels av att han icke erlagt några pensionsavgifter. I det avseendet har enligt upplysning från statens pensionsanstalt Holm under en tid av 17'/, år, då han var ordinarie folkskollärare i finnbygden, först i Korpilombolo och sedan i Svappavaara, erlagt sammanlagt 650 kronor till folkskollärarnas </w:t>
      </w:r>
      <w:r>
        <w:rPr>
          <w:b/>
        </w:rPr>
        <w:t>änkeoch²</w:t>
      </w:r>
      <w:r>
        <w:rPr>
          <w:b w:val="0"/>
        </w:rPr>
        <w:t xml:space="preserve"> pupillkassa. Det är således ett avsevärt belopp, som han faktiskt erlagt, ehuru det har uppgivits, att han inte erlagt någonting. |</w:t>
        <w:br/>
        <w:br/>
        <w:t>På grund av den ställning, han intog, såväl till fastboende jordbrukare i finnbygden som till lapparna därstädes, utsågs han den 1 januari 1916 till lappfogde i Övre Norrbottens distrikt. Detta är det ojämförligt viktigaste av alla lappfogdedistrikt, det innehåller ett antal renar av närmare en kvarts miljon, och det är ett synnerligen svårt arbete, som en lappfogde där har sig förelagt, därför att av gammalt ha renarna i dessa trakter varit hänvisade till att under sommaren flytta över till Norge. Dessutom ligger emellan den nordligaste delen av den norska lappmarken, Sydvaranger och Torne lappmark en lång smal remsa land, som tillhör Finland. Med Finland har ända till de sista åren inte funnits någon konvention angående renskötseln, utan när svenska renar. som hade rätt och sedvana att vistas på den norska sidan, inte kunnat hållas tillbaka från att taga raka vägen över denna smala landremsa, så har det varit mycket vanligt, att finnar, både länsmän och andra personer, tillhörande den fastboende befolkningen passat på att beslagtaga des- &lt;a renar. därför att de ha råkat komma in på finskt område. Detta har lett till ständiga kontroverser med finnarna, och även med den norska jordbrukarbefolkningen har lappfogden måst ha ett ständigt arbete för att Jämna ut tvister på grund av uppkomna höskador o. s. v. Det har ju också på svenska sidan ofta förekommit sådana anledningar till tvister.</w:t>
        <w:br/>
        <w:br/>
        <w:t>Vidare har det genom anläggningen av riksgränsbanan och den stora malmbrytningen i Gellivare och Kiruna åstadkommits, att lapparnas bästa höstbetesmarker omkring riksgränsbanan blivit omöjliga att bruka. Från statens sida har man icke ansett det nödigt att uppföra behövliga stängsel där, utan man har ansett det billigare att betala de renar, som Järnvägstågen köra över. Men skulle lapparna ha handlat efter denna synpunkt, så skulle det ha blivit mycket dyrt för staten. De ha måst taga hänsyn till banans förekomst, icke kunnat stanna kvar i banans närhet på hösten utan måst driva sina re. nar nedåt landet långt tidigare än förut. Därvid har det å ena sidan uppstått tvistigheter emellan de fastboende och lapparna, och å andra sidan ha de lappstammar, som haft sina höstbetesland på båda sidor om riksgränsbanan, trängt in på andra lappbyars områden och därigenom åstadkommit oreda. Allt detta har lappfogden Holm lyckats i mycket hög grad ställa till rätta, alla dessa olägenheter har han bemästrat.</w:t>
        <w:br/>
        <w:br/>
        <w:t xml:space="preserve">När han nu på grund av sin långa tjänstgöring som folkskollärare i finnbygden ifrån den 1 januari 1922 utsågs till folkskoleinspektör i Nedre Tornedalen med den rätt, som därmed följde, dels till pension för honom själv — och till en högre pension än han hade haft som folkskollärare — dels till </w:t>
      </w:r>
      <w:r>
        <w:rPr>
          <w:b/>
        </w:rPr>
        <w:t>änkeoch²</w:t>
      </w:r>
      <w:r>
        <w:rPr>
          <w:b w:val="0"/>
        </w:rPr>
        <w:t xml:space="preserve"> pupillpension, och då han dessutom kände på sig, antar jag, att han icke skulle stå ut så länge med lappfogdetjänsten, så var han böjd för att lämna denna tjänst ifrån sig och behålla den lugnare folkskoleinspektörsbefattningen:. Han blev emellertid då från en hel del håll, inte bara länsstyrelsen i Norrbottens län utan även flera av den dåvarande regeringens medlemmar och andra högstående personer, som voro insatta i och kände till hans goda egenskaper som lappfogde, övertalad att stå kvar under försäkran om att det alldeles säkert inom kort tid skulle bli en lönereglering för de fåtaliga lappfogdarna. Detta hände 1923. Det har emellertid ännu den dag i dag är inte blivit någon lönereglering, därför att frågan har blivit hopkopplad med frågan om lönereglering för landsfiskaler och landsfogdar.</w:t>
        <w:br/>
        <w:br/>
        <w:t xml:space="preserve">Här finnas tre läkarintyg — den tredje läkaren har lämnat intyg om </w:t>
      </w:r>
      <w:r>
        <w:rPr>
          <w:b/>
        </w:rPr>
        <w:t>fru²</w:t>
      </w:r>
      <w:r>
        <w:rPr>
          <w:b w:val="0"/>
        </w:rPr>
        <w:t xml:space="preserve"> Holm, vilket jag sedan skall återkomma till — och enligt de två läkarnas</w:t>
        <w:br/>
        <w:br/>
        <w:t>intyg har Holm sannolikt lidit men av sin tjänst som lappfogde. Jag vill citera, vad överläkaren Nils Rahm i Boden säger: »Med anledning av ovanstående får jag uttala den meningen, att, om det än icke är medicinskt bevisat, att Holms sjukdom uppstått på grund av hans tjänst som lappfogde, det dock måste anses möjligt, att så varit fallet och säkert, att hans tjänst påskyndat förloppet samt ådragit honom bestående skada. Det synes även sannolikt, bland annat, på grund av den goda inverkan på sjukdomen, som vila påtagligen hade, att ett mindre strapatsrikt yrke skulle kunnat förhindra och säkerligen i varje fall fördröja uppkomsten av sjukdomen.»</w:t>
        <w:br/>
        <w:br/>
        <w:t xml:space="preserve">Man kan säga, att när Holm nu lät övertala sig att kvarstå såsom lappfogde, så skedde det faktiskt under den förutsättningen, att hans lönereglering skulle bli avgjord under de närmaste åren och hans familj därigenom skulle bli tryggad i händelse av hans frånfälle. Det måste då anses rimligt, att hans efterlevande, endast på den grund att han icke kommit att såsom folkskoleinspektör eller såsom lappfogde erlägga avgifter till civilstatens </w:t>
      </w:r>
      <w:r>
        <w:rPr>
          <w:b/>
        </w:rPr>
        <w:t>änkeoch²</w:t>
      </w:r>
      <w:r>
        <w:rPr>
          <w:b w:val="0"/>
        </w:rPr>
        <w:t xml:space="preserve"> pupillkassa, icke skola bli lidande. Då nu enligt länsstyrelsens mening, som nog Holm har fått del av, han skulle ha bort komma i lönegraden B 26 men motionärerna endast ha föreslagit, att hans efterlevande skulle få pension efter lönegraden B 24, så anser jag, att den minskning i pension, som därigenom uppkomme, fullt täcker den bristen, att icke pensionsavgifter ha blivit erlagda, för att icke tala därom att genom hans kvarstående som lappfogde hans liv antagligen blivit med många år förkortat.</w:t>
        <w:br/>
        <w:br/>
        <w:t>Med hänsyn härtill ber jag, herr talman, att få yrka bifall till den i ämnet</w:t>
      </w:r>
    </w:p>
    <w:p>
      <w:pPr>
        <w:pStyle w:val="Heading2"/>
      </w:pPr>
      <w:r>
        <w:t>3. Carl Svensson (Socialdemokraterna, man)</w:t>
      </w:r>
    </w:p>
    <w:p>
      <w:r>
        <w:rPr>
          <w:b w:val="0"/>
        </w:rPr>
        <w:t xml:space="preserve">Herr talman! Det framgår av utredningen på denna punkt, att Kungl. Maj:t och utskottet, som tillstyrkt Kungl. Maj:ts framställning, behandlat de efterlevande till lappfogden Holm synnerligen välvilligt. Statskontoret hade ju för sin del uttalat tvekan beträffande beviljande av pension över huvud taget och föreslagit, att </w:t>
      </w:r>
      <w:r>
        <w:rPr>
          <w:b/>
        </w:rPr>
        <w:t>änkan²</w:t>
      </w:r>
      <w:r>
        <w:rPr>
          <w:b w:val="0"/>
        </w:rPr>
        <w:t xml:space="preserve"> skulle erhålla 600 kronor och barnen vartdera 120 kronor. Kungl. Maj:t har höjt dessa belopp till respektive 900 och 180 kronor, och Kungl. Maj:t synes i verkligheten just ha gått ut ifrån de pensionsbelopp, som utgå till statstjänstemän i 24 lönegraden, men härpå är gjort en liten reduktion med hänsyn till att vederbörande icke inbetalat pensionsavgifter. Det är ju så, att andra statstjänstemän få i det allra närmaste helt bestrida kostnaderna för familjepensioneringen. Staten bidrager till denna endast med vissa mindre belopp för administrerandet av pensionskassan, och därför bör det ju vara rimligt, att beträffande en person, som inte på grund av sin ställning är pensionsberättigad men som anses böra av statsmedel få pension, det tages någon hänsyn till den omständigheten, att han icke liksom andra haft att inbetala några pensionsavgifter. Det synes mig således icke i detta fall finnas fog för den uppfattningen, att Kungl. Maj:ts och det förslag, som föreligger här ifrån utskottet, skulle innebära något missgynnande av vederbörande. Det finns efter min mening icke skäl att gå utöver vad Kungl. Maj:t föreslagit; däremot kunde det ju, såsom statskontoret framhåller, finnas en viss tvekan, om pension överhuvud taget skulle få ifrågakomma i detta fall.</w:t>
        <w:br/>
        <w:br/>
        <w:t>Jag hemställer om bifall till utskottets förslag.</w:t>
      </w:r>
    </w:p>
    <w:p>
      <w:pPr>
        <w:pStyle w:val="Heading2"/>
      </w:pPr>
      <w:r>
        <w:t>4. Olof Bergqvist (Högerns riksdagsgrupp, man)</w:t>
      </w:r>
    </w:p>
    <w:p>
      <w:r>
        <w:rPr>
          <w:b w:val="0"/>
        </w:rPr>
        <w:t xml:space="preserve">Det kan ju förefalla, som om utskottets ordförande hade rätt 1 sitt påstående, att lappfogden Holms efterlevande </w:t>
      </w:r>
      <w:r>
        <w:rPr>
          <w:b/>
        </w:rPr>
        <w:t>änka²</w:t>
      </w:r>
      <w:r>
        <w:rPr>
          <w:b w:val="0"/>
        </w:rPr>
        <w:t xml:space="preserve"> och barn ha blivit välvilligt behandlade av Kungl. Maj:t och utskottet. Men då man tänker på de verkliga förhållandena, tror jag, att det finnes mycket stort fog för motionärernas hemställan.</w:t>
        <w:br/>
        <w:br/>
        <w:t>Jag kände lappfogden Holm, och jag minnes mycket väl hans stora tvekan, när det gällde att gå över från folkskoleinspektörstjänsten i Tornedalen till lappfogdetjänsten. Han resonerade med mig flera gånger om denna sak, och särskilt var han ängslig för pensionsförhållandena. Emellertid lät han beveka sig av vederbörande, som med hänsyn till hans stora förutsättningar för lappfogdetjänsten med stor enträgenhet bearbetade honom för att han skulle fe folkskoleinspektörstjänsten och gå in i den tjänst, som han sedermera nade.</w:t>
        <w:br/>
        <w:br/>
        <w:t>Det är ett förhållande, som man nog ofta får iakttaga, att de långa resorna 1 de lapska fjällbygderna äro mycket påkostande för hälsan och att de, som ägnat sig åt lappväsendet, ofta kommit att dö vid relativt unga år. Ett exempel på detta var nomadskoleinspektören Karnell, som mänskligt att se hade kunnat beräkna en längre livstid, om han ej hade haft dessa ytterst ansträngande fjällfärder. Detsamma var utan tvivel förhållandet med lappfogde Holm. Hade han stannat på sin folkskoleinspektörstjänst i Tornedalen, så hade han ej behövt underkasta sig dessa svåra ansträngningar, som</w:t>
        <w:br/>
        <w:br/>
        <w:t>sannolikt bidragit till att förkorta hans liv. Under sådana förhållanden och då han onekligen såsom folkskoleinspektör hade bättre betryggat sina efterlevande, så synes det vara rimligt, att riksdagen håller dessa skadeslösa och bereder dem åtminstone samma pensionsförmåner, som de skulle ha fått, ifall han varit kvar i folkskoleinspektörstjänsten.</w:t>
        <w:br/>
        <w:br/>
        <w:t xml:space="preserve">Nu åberopar man visserligen, att Holm efterlämnade något litet kvarlåtenskap när han dog. Familjen står alltså ej alldeles utblottad. Behållningen uppgives till 40,000 kronor, men dels får man komma ihåg, att </w:t>
      </w:r>
      <w:r>
        <w:rPr>
          <w:b/>
        </w:rPr>
        <w:t>änkan²</w:t>
      </w:r>
      <w:r>
        <w:rPr>
          <w:b w:val="0"/>
        </w:rPr>
        <w:t xml:space="preserve"> står där med fem minderåriga barn, och dels är saken den, som det nämnes i motionen, att </w:t>
      </w:r>
      <w:r>
        <w:rPr>
          <w:b/>
        </w:rPr>
        <w:t>hon²</w:t>
      </w:r>
      <w:r>
        <w:rPr>
          <w:b w:val="0"/>
        </w:rPr>
        <w:t xml:space="preserve"> själv på grund av sjukdom icke blott är oförmögen till allt förvärvsarbete utan att </w:t>
      </w:r>
      <w:r>
        <w:rPr>
          <w:b/>
        </w:rPr>
        <w:t>hon²</w:t>
      </w:r>
      <w:r>
        <w:rPr>
          <w:b w:val="0"/>
        </w:rPr>
        <w:t xml:space="preserve"> dessutom efter all sannolikhet för framtiden är urståndsatt att själv sköta sitt hus. Med anledning av dessa ömmande omständigheter förefaller det mig, som om kammaren borde behjärta den framställning, som föreligger i motionen, och jag skall be, herr talman, att få yrka bifall till densamma.</w:t>
      </w:r>
    </w:p>
    <w:p>
      <w:pPr>
        <w:pStyle w:val="Heading2"/>
      </w:pPr>
      <w:r>
        <w:t>5. Carl Immanuel Asplund (Socialdemokraterna, man)</w:t>
      </w:r>
    </w:p>
    <w:p>
      <w:r>
        <w:rPr>
          <w:b w:val="0"/>
        </w:rPr>
        <w:t xml:space="preserve">Med anledning av bankoutskottets ärade ordförandes påpekande, att inga pensionsavgifter voro erlagda av Holm, så vill jag ännu en gång påpeka, att enligt ett alldeles nyss erhållit meddelande från statens pensionsanstalt uppgå de avgifter, som Holm har erlagt till folkskollärarnas </w:t>
      </w:r>
      <w:r>
        <w:rPr>
          <w:b/>
        </w:rPr>
        <w:t>änkeoch²</w:t>
      </w:r>
      <w:r>
        <w:rPr>
          <w:b w:val="0"/>
        </w:rPr>
        <w:t xml:space="preserve"> pupillkassa under de 17!/2 år han har varit ordinarie folkskollärare i finnbygden, omedelbart innan han blev förordnad såsom lappfogde, till 650 kronor. Jag har försökt, så gott jag har kunnat, räkna ut vad han skulle ha erlagt, ifall han hade kvarstått såsom folkskoleinspektör under de 5 eller 6 år — jag har räknat med 6 år, men det är ej mer än 5 år och 3 månader sedan han avgick från folkskoleinspektörsbefattningen. Det uppgår för dessa år till 1,411 kronor. Vad som då fattas i pensionsavgifter för honom, ifall han hade fått tillgodoräkna sig det han erlagt till folkskollärarnas pensionskassa, skulle således vara 760 kronor. Jag föreställer mig, att ett sådant engångsbelopp inte kan tagas till intäkt, för att man går ned från ett pensionsbelopp av 2,520 kronor, dyrtidstillägg oberäknat, till 1,800 kronor. Den skillnaden tages ju in på ett är.</w:t>
        <w:br/>
        <w:br/>
        <w:t xml:space="preserve">Jag ber att här få påpeka två precedensfall. Det ena ha vi nyss beslutat om; det var väl fem minuter, innan den här punkten föredrogs. Det var under första punkten i bankoutskottets utlåtande nr 32, angående pension åt pressombudet E. V. Sjöstedts </w:t>
      </w:r>
      <w:r>
        <w:rPr>
          <w:b/>
        </w:rPr>
        <w:t>änka²</w:t>
      </w:r>
      <w:r>
        <w:rPr>
          <w:b w:val="0"/>
        </w:rPr>
        <w:t xml:space="preserve">. Enligt utredningen där har </w:t>
      </w:r>
      <w:r>
        <w:rPr>
          <w:b/>
        </w:rPr>
        <w:t>änkan²</w:t>
      </w:r>
      <w:r>
        <w:rPr>
          <w:b w:val="0"/>
        </w:rPr>
        <w:t xml:space="preserve"> utöver behållningen i boet på 365 kronor utbekommit ett livförsäkringsbelopp på 25,000 kronor, och därtill hava de till myndig ålder komna </w:t>
      </w:r>
      <w:r>
        <w:rPr>
          <w:b/>
        </w:rPr>
        <w:t>döttrarna²</w:t>
      </w:r>
      <w:r>
        <w:rPr>
          <w:b w:val="0"/>
        </w:rPr>
        <w:t xml:space="preserve"> fått ett liknande belopp. Här fanns således en förmögenhet på minst 50,000 kronor, varjämte inte ett enda minderårigt barn fanns att försörja. Där hade man icke tagit någon hänsyn till att förmögenhet fanns men ingen försörjningsplikt för minderåriga barn. Bankoutskottet åberopar vidare 1922 års riksdagsbeslut om beviljande av pension åt pressombudet H. F. Valentins </w:t>
      </w:r>
      <w:r>
        <w:rPr>
          <w:b/>
        </w:rPr>
        <w:t>änka²</w:t>
      </w:r>
      <w:r>
        <w:rPr>
          <w:b w:val="0"/>
        </w:rPr>
        <w:t xml:space="preserve"> i London till sammanlagt belopp av 1,200 kronor, ehuru både statskontoret och bankoutskottet avstyrkt pension i detta fall. Men i år har utskottet, på grund av att riksdagen då biföll Kungl. Maj:ts proposition i ärendet, ansett, att samma belopp borde utgå till pressombudet Sjöstedt </w:t>
      </w:r>
      <w:r>
        <w:rPr>
          <w:b/>
        </w:rPr>
        <w:t>änka²</w:t>
      </w:r>
      <w:r>
        <w:rPr>
          <w:b w:val="0"/>
        </w:rPr>
        <w:t>.</w:t>
        <w:br/>
        <w:br/>
        <w:t>Jag hemställer till kammaren, huruvida det är ett arbete av mindre betydelse, som av lappfogden Holm har utförts. Han har sökt på alla möjliga sätt skydda och främja en näring, som bygger på att tillvarataga den fattiga växtligheten på ödsliga fjällmarker, där det är absolut omöjligt att få fram någonting annat ur jorden. Det anses, att renstammen där uppe går upp till närmare en kvarts miljon renar. Här har åberopats bland annat det, att dessa pressombud skulle taga bort vanföreställningar i England och Frankrike om</w:t>
        <w:br/>
        <w:br/>
        <w:t xml:space="preserve">svenska förhållanden. Jag förmodar, att en av de förnämsta vanföreställ- Ang. ningarna Just är den, att det går lappar och renar på Stockholms gator. Jag opfoglan menar det, att själva omvårdnaden om näringen bör vara minst lika viktig J.o0. Holms som det där borttagandet av sådana vanföreställningar. </w:t>
      </w:r>
      <w:r>
        <w:rPr>
          <w:b/>
        </w:rPr>
        <w:t>änka²</w:t>
      </w:r>
      <w:r>
        <w:rPr>
          <w:b w:val="0"/>
        </w:rPr>
        <w:t xml:space="preserve"> och barn. Även beträffande det andra av bankoutskottet åberopade precedensfallet från (Forts) 1922 gäller, att </w:t>
      </w:r>
      <w:r>
        <w:rPr>
          <w:b/>
        </w:rPr>
        <w:t>änkan²</w:t>
      </w:r>
      <w:r>
        <w:rPr>
          <w:b w:val="0"/>
        </w:rPr>
        <w:t xml:space="preserve"> icke hade några barn att försörja, att </w:t>
      </w:r>
      <w:r>
        <w:rPr>
          <w:b/>
        </w:rPr>
        <w:t>hon²</w:t>
      </w:r>
      <w:r>
        <w:rPr>
          <w:b w:val="0"/>
        </w:rPr>
        <w:t xml:space="preserve"> av publicistklubben förut hade en årlig pension på 1,250 kronor och att försäljningen av stärbhusets lösöre gav en behållning av 18,870 kronor i svenskt mynt. Jag tror således, att man kan med fullt fog även gå in för att bevilja det. något högre belopp, som motionärerna föreslagit för lappfogde Holms efterlevande.</w:t>
        <w:br/>
        <w:br/>
        <w:t>Efter det överläggningen förklarats härmed slutad, gjorde herr talmannen i enlighet med de yrkanden, som därunder framkommit, propositioner, först på bifall till vad utskottet i den nu ifrågavarande punkten hemställt samt vidare på bifall till den av herr Asplund m. fl. i ämnet väckta motionen; och förklarade herr talmannen, sedan han upprepat propositionen på bifall till utskottets hemställan, sig anse denna proposition vara med övervägande ja besvarad.</w:t>
      </w:r>
    </w:p>
    <w:p>
      <w:pPr>
        <w:pStyle w:val="Heading2"/>
      </w:pPr>
      <w:r>
        <w:t>6. David Norman (Socialdemokraterna, man)</w:t>
      </w:r>
    </w:p>
    <w:p>
      <w:r>
        <w:rPr>
          <w:b w:val="0"/>
        </w:rPr>
        <w:t>Herr talman! Intressemotsättningarna mellan produktionsmedlens ägare och lönearbetarna ger helt naturligt i vårt moderna näringsliv många gånger anledning till konflikter mellan dessa parter, som båda sträva efter att få så stort utbyte som möjligt av sin insats i produktionsprocessen. Det är, synes det mig, ett naturligt och rättvist krav, att staten vid dessa arbetskonflikter skall förhålla sig neutral, att lagar och förordningar böra vara sådana, att inte den ena parten kan använda dem till sin hjälp mot den andra parten, då intressekonflikter av detta slag inträda. Men det synes också vara riktigt, att samhället har all anledning att därjämte tillse att göra vad på samhället självt ankommer för att undvika allt onödigt tillspetsande, allt onödigt försvårande av en dylik intressekonflikt. I det militära kriget försöker man ju bland de civiliserade folken att åstadkomma en humanisering av krigföringen. Då synes det mig, som om det allmänna har all anledning att verka för, att stridsmetoderna i den sociala kampen också humaniseras. Dessa vräkningar vid arbetskonflikter, som gång efter annan inträffa, då de stridande arbetarna och deras familjer med sitt bohag vräkas, flyttas ut från de bostäder, som de ha haft sig upplåtna — det är en brutal stridsmetod. Det är ett omdöme, som inte bara de i striden deltagande, de som utsatts för densamma, måste fälla,</w:t>
        <w:br/>
        <w:br/>
        <w:t xml:space="preserve">utan rättskänslan inom vissa kretsar bland medborgarna reagerar mot en stridsmetod, som vänder sin spets mot familjen, mot </w:t>
      </w:r>
      <w:r>
        <w:rPr>
          <w:b/>
        </w:rPr>
        <w:t>kvinnor¹</w:t>
      </w:r>
      <w:r>
        <w:rPr>
          <w:b w:val="0"/>
        </w:rPr>
        <w:t xml:space="preserve"> och barn. Den verkar irriterande under själva konfliktens förlopp, och den verkar försvårande för en lugn avveckling av konflikten. Industriarbetarna ha ju många gånger fått vara med om en sådan där tillspetsning av ett konfliktläge. Vi ha t. ex. namnet Mackmyra i vår fackföreningsrörelses historia. När industriarbetarnas organisationer ha vuxit sig starka, så ha dylika stridsmetoder undan för undan blivit åsidosatta, skjutits åt sidan, men de förekomma allt fortfarande, särskilt vid arbetskonflikter inom jordbruksnäringens område.</w:t>
        <w:br/>
        <w:br/>
        <w:t>Vad som nu har aktualiserat frågan, vad som har givit anledningen till, att de här motionerna, som nu äro föremål för andra lagutskottets utlåtande ha kommit till. det är, som vi allmänt känna till, den sorgligt ryktbara Mörehistorien 1 fjol höstas med de vräkningar, som där vidtogos. Där hade några fattiga statare och jordbrukets lönearbetare sammanslagit sig i en fackförening, i avsikt att i tillit till samverkan och solidaritet göra sina krav gällande. Denna fackförening vände sig genom sin förbundsstyrelse till arbetsgivarna med begäran om, att de skulle upptaga förhandlingar om ett kollektivavtal. Det var någon gång på vårsidan i fjol, som den framställningen gjordes. Det kom inte något svar från arbetsgivarna på denna begäran. Efter någon månad gjordes ytterligare en hemställan om, att dylika förhandlingar skulle upptagas, och då var det en av dessa — jag tror 22 arbetsgivare — som svarade därpå. Han svarade. att det på hans gård ej rådde någon avtalstvist, varför han ej hade någon anledning att underhandla med en fackförening. För att giva ett uttryck åt, att organisationen här menade allvar med sitt krav på underhandlingar, allvar med sitt krav på att här skulle fackföreningen såsom sådan få sluta en överenskommelse med arbetsgivarna, få sluta ett kollektivavtal, så beslöt denna organisation, denna lantarbetarefackförening, en partiell strejk inom ett visst område av det hela, som berördes av den här konflikten. D. v. s. man gick ej så brådstörtat fram utan man begränsade striden till ett mindre område för att dock visa. att här var det allvar i kravet. När detta inte ledde till något resultat, blev strejken total. Det var någon gång i slutet av juli månad i fjol, tror jag. Dessförinnan hade förlikningsmannen försökt åstadkomma en medling, men han hade mötts av precis samma oförstående som fackföreningen hade mötts av från arbetsgivarnas sida. Han fick från detta håll intet svar på sin hemställan om, att parterna skulle sammanträda till medling. Arbetsgivareparten svarade inte ens förlikningsmannen på hans hemställan. Han måste vända sig till länsstyrelsen för att länsstyrelsen skulle ålägga dessa arbetsgivare att i det här fallet följa lag och förordning och infinna sig till ett förlikningssammanträde, när förlikningsmannen kallat dem. Det gjorde de ju nu visserligen men endast för att förklara. att de ej ville underhandla med fackföreningen. TI stället tillgrepo de dessa brutala stridsmetoder. De ansökte hos länsstyrelsen om vräkningsdom på dessa arbetare. Jag tror, att det var över femtiotalet arbetare, som med familjer utgjorde omkring 250 personer, som skulle vräkas från sina bostäder. Det har framhållits, att den här striden där nere i Södra Möre skulle vara en strid för föreningsrätten, och det har protesterats mot, att det påståendet har blivit fällt. Och rent formellt sett så ha ju dessa lantarbetsgivare ej vägrat sina arbetare att tillhöra någon slags fackorganisation, men genom sina åtgärder eller rättare sagt genom sin underlåtenhet i fråga om åtgärder i det här fallet så ha de alldeles tydligt saboterat föreningsrätten för sina arbetare, 1 det att de ha vägrat att underhandla med fackföreningen om kollektivavtal. Motionerna här synas mig vara berättigade som en protest mot en sådan social efterblivenhet, som har visat sig under denna så riksberyktade Mörekonflikt, och det synes mig, som om riksdagen borde understryka den protesten genom att ansluta sig till den reservation till utskottets utlåtande, som här är bifogad.</w:t>
        <w:br/>
        <w:br/>
        <w:t>Frågan om lagstiftningsåtgärder för att förhindra en sådan brutal stridsmetod, som vräkningar å&amp; arbetsanställda från deras bostäder innebär, den frågan har flera gånger förut behandlats av riksdagen. Det har försökts olika vägar för att kunna komma fram till ett resultat. De förslag, som förut varit uppe, skulle kanske ej giva det skydd, som rättskänslan enligt min uppfattning har rättighet att kräva i det här fallet. Motionärerna framhålla som ett berättigat krav, att lag och förordning borde vara sådana, att det skulle få dröja en viss tid innan arbetare, som deltaga i en arbetskonflikt, måste flytta ifrån de bostadslägenheter, som äro upplåtna åt dem, att det sålunda skulle kunna bli ungefär enahanda förhållande och samma bestämmelser, som gälla beträffande den för bostadslägenheter ömsesidiga uppsägningsrätten, d. v. s. tre månader. »Men&gt;», heter det i motionen, »därjämte torde det böra ankomma på myndigheternas prövning, huruvida under särskilda förhållanden ytterligare tid, exempelvis två månader, skall medgivas för innehav av lägenheter.» För att få fram åtgärder, som skulle tillfredsställa dessa krav, yrkas det av motionärerna på en utredning om sättet och medlen för åstadkommande av sagda skydd. Andra lagutskottet har i sitt utlåtande ej tagit ståndpunkt till själva rättsprincipen, ej sagt ifrån såsom sin mening, huruvida det nuvarande förhållandet är lämpligt och bra eller icke, eller huruvida rättsmedvetandet måste reagera mot detta slag av stridsåtgärder från den ena partens sida. Utskottet framhåller i stället, att denna fråga sammanhänger med frågan överhuvud om en för jordbruket lämpad avtalslagstiftning, och att den kan lösas endast i sammanhang därmed. Ja, jag kan ej finna annat än att det motiv, som här framhålles, måste betecknas som ett de obotfärdigas förhinder. Man vill ingenting göra i denna fråga. Den synes mig dock vara av den betydelse, att här borde från statsmakternas sida någonting göras, ty det är otvivelaktigt så, att just sådana stridsmetoder verka synnerligen irriterande och försvårande på en arbetskonflikt. Dessa arbetare, som blivit utsatta för detsamma, måste känna sig stå liksom rättslösa i samhället, när samhällets myndigheter på grund av lag och förordning stå arbetsgivaren till tjänst med dessa brutala stridsåtgärder. Det måste hos familjemedlemmarna, hos dessa barn, som få vara med om dylika vidrigheter i ungdomsåren, bita sig fast just denna misstanke, att de tillhöra en klass i samhället, som på ett alldeles särskilt sätt ställes vid sidan och som icke får det rättsskydd, den borde ha rätt till. Det kanske, juridiskt sett, icke är så, men psykologiskt sett, måste just den tanken växa sig fast hos dessa människor. |</w:t>
        <w:br/>
        <w:br/>
        <w:t>Jag anser, herr talman, att denna fråga är av sådan betydelse, att man ej bör vänta med dess lösning tills den kan ske i sammanhang med en avtalslagstiftning på detta område. Beträffande en avtalslagstiftning på jordbrukets område är det min uppfattning, att i det avseendet bör man nog vara rätt betänksam. Här bör det i varje fall vara så, att här måste den ömsesidiga, den frivilliga överenskommelsen mellan parterna skapa en praxis, en sedvanerätt, innan denna stadfästes i någon som helst lag. Skola vi vänta på att detta möjliggör en avtalslagstiftning, där även det nu förevarande problemet löses, tror jag, att det vid det laget så småningom har löst sig själv för lantarbetarna på samma sätt, som det löst sig för industriarbetarna. I och med att fackorganisationerna växa sig starka, komma helt naturligt dessa brutala stridsmetoder att icke längre tillämpas, men de många offer, som måste ske, innan man kommer dithän, dessa offer, synes det mig, skulle kunna undvikas genom att riksdagen här ginge in för en undersökning, om det icke skulle kunna vidtagas omedelbara lagstiftningsåtgärder i syfte att åstadkomma detta skydd mot vräkning vid arbetskonflikter.</w:t>
        <w:br/>
        <w:br/>
        <w:t>Jag ber, herr talman, att få yrka bifall till den reservation, som till utskottsutlåtandet är fogat av fyra reservanter.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628</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