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646</w:t>
      </w:r>
    </w:p>
    <w:p>
      <w:r>
        <w:rPr>
          <w:b/>
        </w:rPr>
        <w:t xml:space="preserve">Datum: </w:t>
      </w:r>
      <w:r>
        <w:t>1931-03-21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Petrus Gränebo (Bondeförbundet, man)</w:t>
      </w:r>
    </w:p>
    <w:p>
      <w:r>
        <w:rPr>
          <w:b w:val="0"/>
        </w:rPr>
        <w:t xml:space="preserve">Ett särskilt anslag till statens historiska museums upplysningsoch propagandaverksamhet tillkom första gången vid 1928 års riksdag, och då beslöts det på grund av enskild motion. Anslaget har sedan bibehållits vid samma belopp de följande åren. I motionen motiverades anslaget med, att man inte hade tillgängliga krafter bland den ordinarie personalen i statens historiska museum, utan att man behövde en särskild person för denna upplysningsverksamhet, och kunde förvärva en eminent förmåga i fil. doktor Hanna Rydh. Detta framhölls uti debatten av herr Värner Rydén, som då var motionär. Nu har man ej längre doktor Rydh att tillgå för detta ändamål, </w:t>
      </w:r>
      <w:r>
        <w:rPr>
          <w:b/>
        </w:rPr>
        <w:t>hon²</w:t>
      </w:r>
      <w:r>
        <w:rPr>
          <w:b w:val="0"/>
        </w:rPr>
        <w:t xml:space="preserve"> är nämligen därtill förhindrad, och är alltså det motivet borta för anslaget vid denna punkt.</w:t>
        <w:br/>
        <w:br/>
        <w:t>Ändamålet med anslaget, såsom det enligt propositionen uppgivits, skulle dels vara anordnandet av kurser för lärare och skolungdom, dels till tillfälliga utställningar av såväl äldre materiel som nyinkomna fynd, dels till föreläsningar,</w:t>
        <w:br/>
        <w:br/>
        <w:t>fristående eller kombinerade med utställningar, vandringsutställningar samt exkursioner i fornminnesrika trakter av vårt land. Ja, dessa strävanden är Ju ej något att invända emot, utan de äro värda uppmuntran, men då man endast har den ordinarie personalen att anlita härför, så framträder ej så starkt behovet av så stort anslag som tidigare och för övrigt framgår det av en tablå, som vi inom utskottet erhållit rörande anslagets användning under de år, varunder anslag utgått, att man haft dels en utställning av kyrkliga textilier under år 1929 i Liljevalchs konsthall, dels en egyptisk utställning och dels en utställning av italienska och tyska renässansmedaljer, som tillsammans dragit en kostnad av 3,902 kronor. Sedan är det ett par smärre anslag under samma budgetår, så att hela beloppet under det året uppgår till 3,995 kronor och 87 öre. Anslaget synes alltså icke det året ha använts i full överensstämmelse med vad som i propositionen angivits. Under budgetåret 1929/1930 har av anslaget endast använts 3,081 kronor. Alltså har det blivit en reservation på anslaget av över fyra hundra kronor, som man ej nyttjat sig av. Under året 1929/1930 har man använt ett belopp av 2,863 kronor för utställning av dels guldfynd, dels fynd från Grobin i Lettland, dels föremål från Kungl. skattkammaren m. m. Det året har man för särskilda föreläsningar endast utgivit ett belopp på en 500 å 600 kronor. Alltså synes även för detta år anslaget icke helt hava behövts för det ändamål, som man så starkt i motionen framhävt och ansett böra i första hand tillgodoses. Under innevarande budgetår har hittills ej använts mer än 1,662 kronor.</w:t>
        <w:br/>
        <w:br/>
        <w:t>Dessa omständigheter voro orsaken till, att när vi på avdelningen hade att taga ståndpunkt till denna fråga, flera av avdelningens ledamöter ansågo, att anslaget ej vidare borde utgå som särskilt anslag, och en av dessa ledamöter var den, som nu står bland utskottets majoritet, förste vice talmannen 1 denna kammare, herr Olof Olsson. Jag vet ej vad anledningen var till, att han sedan ändrade sig, enär han först gick in för ett särskilt alternativ om avslag. För min del ansåg jag, att man kunde nedsätta anslaget till hälften, då det under föregående år utgått med minskade belopp, och då man ej längre hade tillgång till doktor Rydh.</w:t>
        <w:br/>
        <w:br/>
        <w:t>Av dessa skäl, ansåg jag, att man borde begränsa anslaget till 2,000 kronor och jag ber, herr talman, att få yrka bifall till reservationen, vari en sådan hemställan göres.</w:t>
      </w:r>
    </w:p>
    <w:p>
      <w:pPr>
        <w:pStyle w:val="Heading2"/>
      </w:pPr>
      <w:r>
        <w:t>2. Olof Bergqvist (Högerns riksdagsgrupp, man)</w:t>
      </w:r>
    </w:p>
    <w:p>
      <w:r>
        <w:rPr>
          <w:b w:val="0"/>
        </w:rPr>
        <w:t>Herr andre vice talmannen har i sitt anförande påpekat, att de ändamål, vartill anslaget använts och användes, äro behjärtansvärda. Han har nämnt, att dessa ändamål äro dels kurser för lärare och skolungdom, dels tillfälliga utställningar av såväl äldre materiel som nyinkomna fynd samt föreläsningar, fristående eller kombinerade med utställningar, anordnade 1 samarbete med lokala organisationer, dels exkursioner till fornminnesrika trakter.</w:t>
        <w:br/>
        <w:br/>
        <w:t>Då detta anslag sålunda användes för dylika ändamål, vore det synd, om det nu skulle sänkas till hälften, såsom är föreslaget. Riksantikvarien Curman har också framhållit önskvärdheten av, att man bibehåller det belopp, som hittills har utgått. Att det tillfälligtvis ej kommit att användas helt och hållet under de senaste åren har berott på särskilda omständigheter. Men enligt vad riksantikvarien meddelat, är meningen att ännu kraftigare upptaga propagandan för fornminnesvården och sådana kurser m. m., som i framställningen omnämnas.</w:t>
        <w:br/>
        <w:br/>
        <w:t>Jag ber, herr talman, att få yrka bifall till utskottets hemställan.</w:t>
      </w:r>
    </w:p>
    <w:p>
      <w:pPr>
        <w:pStyle w:val="Heading2"/>
      </w:pPr>
      <w:r>
        <w:t>3. Ivan Pauli (Socialdemokraterna, man)</w:t>
      </w:r>
    </w:p>
    <w:p>
      <w:r>
        <w:rPr>
          <w:b w:val="0"/>
        </w:rPr>
        <w:t>Herr talman! Jag tror, att det var ett litet minnesfel av herr andre vice talmannen, när han hade för sig, att vid den ursprungliga behandlingen på avdelningen flertalet hade varit emot ett bibehållande av detta förslag. Jag hade tillfälle att där deltaga i den första behandlingen, och det var tvärtom så, att man då var tämligen enig om bibehållandet av detta anslag. Det var under en senare behandling eller vid justeringen, som dessa skiljaktigheter uppstodo. Det spelar ju emellertid ej någon större roll, vilketdera som nu var fallet.</w:t>
        <w:br/>
        <w:br/>
        <w:t xml:space="preserve">Jag har hört både inom avdelningen och här i kammaren anföras såsom ett skäl för att man inte skulle bibehålla detta anslag, att när det på sin tid beviljades av 1928 års riksdag, så skulle det ha varit särskilt av det skälet, att man då hade att tillgå en framstående personlig kraft, doktor Hanna Rydh, för denna upplysningsoch propagandaverksamhet. Jag har för att uppfriska minnet av vad som då skedde skaffat mig statsutskottets utlåtande i ifrågavarande punkt för det året. I detta utlåtande nämnes inte detta rent personliga skäl med ett enda ord. Doktor Rydh och </w:t>
      </w:r>
      <w:r>
        <w:rPr>
          <w:b/>
        </w:rPr>
        <w:t>hennes²</w:t>
      </w:r>
      <w:r>
        <w:rPr>
          <w:b w:val="0"/>
        </w:rPr>
        <w:t xml:space="preserve"> synnerligen berömvärda verksamhet, särskilt vid exkursioner och demonstrationer av fornminnen, nämndes däremot i den motion, som av herr Rydén väcktes och som blev anledningen till utskottets förslag i denna punkt, men spelar inte heller där den dominerande roll, som man här tycks vilja tillmäta den saken.</w:t>
        <w:br/>
        <w:br/>
        <w:t xml:space="preserve">Ser man sedan på den tablå över dispositionen av anslaget under de senaste åren, som herr andre vice talmannen redan har hänvisat till, så finner man, att även där har det deltagande, som doktor Hanna Rydh haft i dessa demonstrationer, visserligen varit ganska flitigt men inte på något sätt dominerande. </w:t>
      </w:r>
      <w:r>
        <w:rPr>
          <w:b/>
        </w:rPr>
        <w:t>Hon²</w:t>
      </w:r>
      <w:r>
        <w:rPr>
          <w:b w:val="0"/>
        </w:rPr>
        <w:t xml:space="preserve"> gav 1928/1929 nio demonstrationer, och även under 1929/1930 användes en del av anslaget för demonstrationer av </w:t>
      </w:r>
      <w:r>
        <w:rPr>
          <w:b/>
        </w:rPr>
        <w:t>henne²</w:t>
      </w:r>
      <w:r>
        <w:rPr>
          <w:b w:val="0"/>
        </w:rPr>
        <w:t>. Men annars ha till större delen de demonstrationer och utställningar, som det här redogöres för, skett med anlitande av andra personer. Jag tror verkligen inte, att historiska museet är ställt utan personliga resurser, därför att det inte längre har tillgång till doktor Hanna Rydhs eminenta kraft. Det finns dess bättre även andra, som härvidlag kunna stå till tjänst och fylla det ändamål, som här avses.</w:t>
        <w:br/>
        <w:br/>
        <w:t>Jag vill särskilt erinra om, att utskottet 1928 förklarade, att samma skäl, som föranlett statens ekonomiska stödjande av den betydelsefulla upplysningsoch propagandaverksamhet, vilken bedrivits från nationalmuseums sida, enligt utskottets förmenande även förelåge i nu förevarande fall, där det gäller en verksamhet av i viss mån besläktad beskaffenhet. Dessa skäl föreligga i dag lika mycket som år 1928, och jag kan inte finna, att den användning av anslaget, för vilken har redogjorts i denna tablå, är på något sätt ägnad att inge riksdagen någon misstro eller misströstan i fråga om den lämpliga användningen.</w:t>
        <w:br/>
        <w:br/>
        <w:t>Att man här inte i alla år har till fullo tagit ut anslaget kan väl inte anses vara något skäl för att nu skära ned det så kraftigt som till 2,000 kronor. Man skall väl inte bestraffa historiska museet, för att det har iakttagit en viss sparsamhet. Det tycker jag vore en missriktad pedagogik ifrån riksdagens sida.</w:t>
        <w:br/>
        <w:br/>
        <w:t>Då alltså detta anslag fortfarande behöves av de skäl, som åberopades 1928, och då den användning av anslaget, som hittills förekommit, inte kan anses på något sätt olämplig utan tvärtom, ber jag, herr talman, att få yrka bifall till anslagets beviljande enligt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