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686</w:t>
      </w:r>
    </w:p>
    <w:p>
      <w:r>
        <w:rPr>
          <w:b/>
        </w:rPr>
        <w:t xml:space="preserve">Datum: </w:t>
      </w:r>
      <w:r>
        <w:t>1931-05-27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Martin Svensson (–, man)</w:t>
      </w:r>
    </w:p>
    <w:p>
      <w:r>
        <w:rPr>
          <w:b w:val="0"/>
        </w:rPr>
        <w:t xml:space="preserve">Herr talman! Herr Rosén var den, som i utskottet framkom med det yrkande, som sedan reservationsvis upptagits av både honom och herr Kvarnzelius m. fl. Nu har ju herr Rosén själv gjort vissa formella erinringar mot denna reservation och i stället föreslagit, att man skulle gå på bifall till </w:t>
      </w:r>
      <w:r>
        <w:rPr>
          <w:b/>
        </w:rPr>
        <w:t>fröken²</w:t>
      </w:r>
      <w:r>
        <w:rPr>
          <w:b w:val="0"/>
        </w:rPr>
        <w:t xml:space="preserve"> Hesselgrens motion, däri det föreslås, att vardera av dessa sysslingar skulle få 3,000 kronor. Således skulle </w:t>
      </w:r>
      <w:r>
        <w:rPr>
          <w:b/>
        </w:rPr>
        <w:t>fröken²</w:t>
      </w:r>
      <w:r>
        <w:rPr>
          <w:b w:val="0"/>
        </w:rPr>
        <w:t xml:space="preserve"> Wimmercrantz</w:t>
        <w:br/>
        <w:br/>
        <w:t>komma upp till en pensionsinkomst av något över 4,800. Då man här är så litet på det klara med vad resultatet blir, därest man skulle bifall herr Kvarnzelius” reservation, skulle jag likväl vilja hemställa, om det inte vore en riktigare väg att följa utskottet och fatta samma beslut som andra kammaren förut fattat.</w:t>
      </w:r>
    </w:p>
    <w:p>
      <w:pPr>
        <w:pStyle w:val="Heading2"/>
      </w:pPr>
      <w:r>
        <w:t>2. Georg Bissmark (Första kammarens nationella parti, man)</w:t>
      </w:r>
    </w:p>
    <w:p>
      <w:r>
        <w:rPr>
          <w:b w:val="0"/>
        </w:rPr>
        <w:t>Herr talman! Jag kan inte dela en föregående ärad talares uppfattning, att man, därför att någon oklarhet förefinnes om huruvida gemensam votering eller ej skulle kunna äga rum, nödvändigt måste bifalla utskottets hemställan. Såvitt jag kan se, kan ett beslut i överensstämmelse med vare sig motionen eller reservanternas förslag aldrig leda till att dessa damer, som här avses, få mindre än de eljest skulle ha fått. Och då för mig huvudsaken är, att de få en höjning i de av utskottet förordade beloppen, så anser Jag mig för min del böra biträda herr Roséns yrkande.</w:t>
        <w:br/>
        <w:br/>
        <w:t>Beträffande herr Oscar Olssons senaste yttrande får jag påpeka, att det är ju inte fråga om, huruvida ett ändamål står arvlåtaren nära. Lagen tillåter inte detta resonemang, utan det skall vara en viss person — han må nu vara fysisk person eller juridisk — som skall stå arvlåtaren nära. Och då herr Olsson talade om, att vi skola slå vakt kring arvsfonden, är detta mycket riktigt, men det är bättre att säga, att vi skola slå vakt om lagen, som vi själva hava antagit, och inte medge, att man tummar på den på sådana grunder. Det är starka skäl, som skola föreligga, för att avstå från arvsfondens medel, men även $ starkaste skäl få ej leda därtill, om lagens bestämmelser icke medgiva det.</w:t>
      </w:r>
    </w:p>
    <w:p>
      <w:pPr>
        <w:pStyle w:val="Heading2"/>
      </w:pPr>
      <w:r>
        <w:t>3. Herman Kvarnzelius (Folkpartiet, man)</w:t>
      </w:r>
    </w:p>
    <w:p>
      <w:r>
        <w:rPr>
          <w:b w:val="0"/>
        </w:rPr>
        <w:t xml:space="preserve">Herr talman! På de skäl, som anförts av herr Rosén, ber även jag att få ansluta mig till det av honom under överläggningen gjorda yrkandet, vilket sålunda innebär bifall till Kungl. Maj:ts proposition, dock med den ändring, att man bifaller även </w:t>
      </w:r>
      <w:r>
        <w:rPr>
          <w:b/>
        </w:rPr>
        <w:t>fröken²</w:t>
      </w:r>
      <w:r>
        <w:rPr>
          <w:b w:val="0"/>
        </w:rPr>
        <w:t xml:space="preserve"> Hesselgrens motion i ämnet.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