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701</w:t>
      </w:r>
    </w:p>
    <w:p>
      <w:r>
        <w:rPr>
          <w:b/>
        </w:rPr>
        <w:t xml:space="preserve">Datum: </w:t>
      </w:r>
      <w:r>
        <w:t>1932-04-30</w:t>
      </w:r>
    </w:p>
    <w:p>
      <w:r>
        <w:rPr>
          <w:b/>
        </w:rPr>
        <w:t xml:space="preserve">Kammare: </w:t>
      </w:r>
      <w:r>
        <w:t>Första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Albert Bergström (Socialdemokraterna, man)</w:t>
      </w:r>
    </w:p>
    <w:p>
      <w:r>
        <w:rPr>
          <w:b w:val="0"/>
        </w:rPr>
        <w:t>Herr talman! Så långt man kan utläsa av handlingarna i detta ärende, har telegrafstyrelsen sett enkelt och praktiskt på saken. Det föreligger här en fråga om tolkning av en eller annan paragraf i ett pensionsreglemente, paragrafer, som skrivits så krångligt och obegripligt, att delägare i kassan kunna förlora en i realiteten oomtvistad rätt.</w:t>
        <w:br/>
        <w:br/>
        <w:t>Telegrafstyrelsen, som känner ansvaret och skyldigheten mot den avlidna tjänstemannens barn, ser till den reella rätten och anser, riktigt nog, att det vore i hög grad stötande för rättskänslan, att samma belopp av pensionsavgifter, erlagda för samma ändamål enligt samma författning av befattningshavare i samma avlöningsoch pensionsställning, i det ena fallet medförde, men i det andra icke medförde pensionsrätt för efterlevande i samma skyldskapsställning gentemot befattningshavaren. Som naturligt är anser sig telegrafstyrelsen heller icke kunna annat än tillstyrka, att telegrafkommissarien Valgrens efterlämnade barn tillerkännes den pension, vartill det vore berättigat.</w:t>
        <w:br/>
        <w:br/>
        <w:t>Av statskontorets yttrande att döma är statskontoret av den uppfattningen, att frågan, om barnet i detta fall vore pensionsberättigat, måste besvaras nekande, till dess det visats, att detsamma vore trolovningsbarn.</w:t>
        <w:br/>
        <w:br/>
        <w:t>Telegrafkommissarien Valgrens barn är trolovningsbarn, det har motionären visat med intyg från vederbörande barnavårdsman, och statskontoret tillstyrker, fastän med tvekan, telegrafstyrelsens förslag.</w:t>
        <w:br/>
        <w:br/>
        <w:t xml:space="preserve">Detta synes mig vara ett typiskt fall, då formen hotar att segra över rätten. Den avlidna modern har i livstiden till fullo inbetalt stadgade avgifter och alltså fullt ut uppfyllt sin del av den överenskommelse, som kan anses vara träffad med det verk, som </w:t>
      </w:r>
      <w:r>
        <w:rPr>
          <w:b/>
        </w:rPr>
        <w:t>hon²</w:t>
      </w:r>
      <w:r>
        <w:rPr>
          <w:b w:val="0"/>
        </w:rPr>
        <w:t xml:space="preserve"> har tjänat, naturligtvis i säker förvissning om, att staten skulle fullgöra sina åtagna förpliktelser.</w:t>
        <w:br/>
        <w:br/>
        <w:t xml:space="preserve">Om nu pensionsreglementet skall tolkas så, som direktionen för telegrafverkets </w:t>
      </w:r>
      <w:r>
        <w:rPr>
          <w:b/>
        </w:rPr>
        <w:t>änkeoch²</w:t>
      </w:r>
      <w:r>
        <w:rPr>
          <w:b w:val="0"/>
        </w:rPr>
        <w:t xml:space="preserve"> pupillkassa gjort, att Valgrens </w:t>
      </w:r>
      <w:r>
        <w:rPr>
          <w:b/>
        </w:rPr>
        <w:t>dotter²</w:t>
      </w:r>
      <w:r>
        <w:rPr>
          <w:b w:val="0"/>
        </w:rPr>
        <w:t xml:space="preserve"> inte kunde — som det säges — »i denna ordning beredas pension», då måste man fråga sig, varför i all världen telegrafstyrelsens </w:t>
      </w:r>
      <w:r>
        <w:rPr>
          <w:b/>
        </w:rPr>
        <w:t>änkeoch²</w:t>
      </w:r>
      <w:r>
        <w:rPr>
          <w:b w:val="0"/>
        </w:rPr>
        <w:t xml:space="preserve"> pupillkassa på statens vägnar tar emot pensionsavgifterna, fastän man hela tiden måste varit medveten om, att pension inte kunde tillkomma den, till vars förmån inbetalningarna skett.</w:t>
        <w:br/>
        <w:br/>
        <w:t>Departementschefen åberopar »synnerligen ömmande omständigheter» för beviljande av 600 kronor såsom uppfostringsbidrag åt Valgrens barn Men jag kan inte finna, att här förligga några ömmande omständigheter, utan det är endast fråga om en enkel rättvisa. Vad skulle man t. ex. säga om ett försäkringsbolag, som med hänvisning till en oklarhet i bestämmelserna försökte komma ifrån att utbetala pension eller livränta eller vad det nu må vara, fastän bolaget utan invändning mottagit de avtalade försäkringsavgifterna. Om så skedde, skulle säkert bolaget bli utsatt för klander. Men jag tror knappast, att ett bolag skulle handla på det sättet.</w:t>
        <w:br/>
        <w:br/>
        <w:t>Telegrafstyrelsen lämnar en upplysning om, att den pensionsfond, till vilken Valgren erlagt de stadgade avgifterna, kommit till användning endast i sju fall och att fondens behållning vid innevarande års slut uppgick till 2,130,961 kronor. Man kan här alltså inte åberopa några »statsfinansiella skäl».</w:t>
        <w:br/>
        <w:br/>
        <w:t>Det kan väl inte vara tänkbart, att riksdagen, som ofta gör rättelse, där formella synpunkter kränka billighetens krav i fall. som äro mindre markanta</w:t>
        <w:br/>
        <w:br/>
        <w:t xml:space="preserve">än det här, skall kunna tillåta, att en bokstavstolkning skall beröva barnet, om Ang. vilket nu är fråga, dess, som jag tycker, solklara rätt. uppföstrings- Enligt pensionsreglementet skulle Valgrens </w:t>
      </w:r>
      <w:r>
        <w:rPr>
          <w:b/>
        </w:rPr>
        <w:t>dotter²</w:t>
      </w:r>
      <w:r>
        <w:rPr>
          <w:b w:val="0"/>
        </w:rPr>
        <w:t xml:space="preserve"> vara berättigad till en avlidna tele pension — förutom dyrtidstillägg — på 1,278 kronor. När nu motionären grafkommisstannat vid att föreslå ett understöd på 1,000 kronor, så skulle alltså ett yrsarien B. M. kande om hela pensionsbeloppet vara verkningslöst, men då jag har den upp- Valgrens fattningen, att barnet har rätt till hela pensionsbeloppet, anser jag, att det ledd understöd, som är föreslaget, åtminstone bör utgå till dess barnet fyllt 21 år. ”</w:t>
        <w:br/>
        <w:br/>
        <w:t>Herr talman! Jag ber att få yrka bifall till motionen.</w:t>
      </w:r>
    </w:p>
    <w:p>
      <w:pPr>
        <w:pStyle w:val="Heading2"/>
      </w:pPr>
      <w:r>
        <w:t>2. Carl Svensson (Socialdemokraterna, man)</w:t>
      </w:r>
    </w:p>
    <w:p>
      <w:r>
        <w:rPr>
          <w:b w:val="0"/>
        </w:rPr>
        <w:t>Herr talman! Jag anhåller att få yrka bifall till utskottets hemställan, i vilken viss hänsyn har tagits till den hemställan, som är gjord i motionerna. Kungl. Maj:t har nämligen föreslagit, att det skulle utgå ett understödsbelopp av 600 kronor, motionärerna ha yrkat på 1,000 kronor och utskottet föreslår 800 kronor.</w:t>
        <w:br/>
        <w:br/>
        <w:t>Jag skall inte gå in på de synpunkter, som den siste ärade talaren här har framfört. Jag vill endast konstatera, att det enda sätt, varpå under nuvarande förhållanden kan åtgöras något till vederbörandes understödjande torde vara att utskottets förslag bifalles.</w:t>
        <w:br/>
        <w:br/>
        <w:t>Jag hemställer alltså om bifall till utskottets yrkande.</w:t>
      </w:r>
    </w:p>
    <w:p>
      <w:pPr>
        <w:pStyle w:val="Heading2"/>
      </w:pPr>
      <w:r>
        <w:t>3. David Norman (Socialdemokraterna, man)</w:t>
      </w:r>
    </w:p>
    <w:p>
      <w:r>
        <w:rPr>
          <w:b w:val="0"/>
        </w:rPr>
        <w:t>Herr talman! Som kammarens ledamöter finna, rör denna fråga beräkning av tjänstgöringstid för rätt till underhåll från Vadstena krigsmanshuskassa. Den frågan har ju varit före i riksdagen åtskilliga gånger, och till att börja med förutsattes minst 25 års tjänstetid för den, som</w:t>
        <w:br/>
        <w:br/>
        <w:t>skulle komma i åtnjutande av denna rätt. Så ändrades detta till en minimianställningstid av 20 år. Är 1931 beslöt riksdagen ytterligare en utvidgning av understödsrätten för dessa gamla indelta på så sätt, att minimitjänstetiden bestämdes till 15 år, dock med den begränsningen, att vederbörande skulle under dessa 15 år ha tjänstgjort minst 600 dagar. När det beslutet skulle tilllämpas, skar det sig tydligen på något sätt. Det hade beräknats, att kostnaderna för denna utvidgning av understödsrätten skulle hålla sig omkring 100,000 kronor. När det så kom in ansökningar till arméförvaltningens civila departement, blevo ett par sådana ansökningar avslagna, därför att 1 den tjänstgöringstid, som ansökningarna stödde sig på, var medräknad tiden för rekrytskola och underbefälsutbildning. Med anledning av det avslag, som ett par ansökande på denna grund fingo, anhöll chefen för västra arméfördelningen, att Kungl. Maj:t måtte upptaga ifrågavarande ärende till prövning samt, därest civila departementets beslut skulle befinnas icke vara i överensstämmelse med en riktig tolkning av kungörelsen den 13 mars 1931, undanröja detsamma. Chefen för västra arméfördelningen ansåg, med andra ord, att det kunde ifrågasättas, huruvida den tolkningen av kungörelsen vore riktig, att den innebar en begränsning på så sätt, att tiden för rekrytskolan och un- Opebets outbilmin gen icke skulle medräknas i de 600 dagarna tjänstgöringstid.</w:t>
        <w:br/>
        <w:br/>
        <w:t>Nu har, efter vad jag kan förstå, frågan legat så till, att på grund av denna kungörelse, som alltså stödde sig på riksdagsbeslutet 1931, ha en hel del gamla knektar, som inte av sig själva tagit initiativet till att ansöka om understöd, fått en direkt anvisning från vederbörande regemente, att de så skulle göra. Jag känner åtminstone ett fall, där en gammal knekt har fått denna kungörelse sig tillskickad jämte ett utdrag ur regementsrullan om antalet tjänstedagar och ett meddelande, hur han skulle förfara för att komma 1 åtnjutande av det här av riksdagen beslutade understödet. Jag tänker mig, att detta inte är ett enstaka fall, utan att så har förfarits beträffande en hel del personer, och departementet har ju överhopats av ansökningar. Det visar sig då, att skulle man tillämpa någon annan grund än den, som nu från arméförvaltningens civila departement hade förutsatts, skulle kostnaderna inte stanna ju dessa 100,000 kronor utan springa upp till och kanske nå över 700,000</w:t>
        <w:br/>
        <w:br/>
        <w:t>Det gick nu till på det sättet, att Kungl. Maj:t i ett cirkulär meddelade de direktiv, som skulle gälla. Och de inneburo just, att i tjänstgöringstiden inte skulle få inräknas tiden för rekrytskola och underbefälsutbildning. Nu ha några motionärer i andra kammaren hemställt om riksdagens uttalande i anledning av detta förhållande. De anse, att riksdagsbeslutet 1931 innebar, att all tjänstgöringstid skulle inräknas i de 600 dagarna och att således en hel del av dessa många gamla knektar, som nu ha fått sin ansökan om understöd avslagen, också skulle komma i åtnjutande därutav.</w:t>
        <w:br/>
        <w:br/>
        <w:t>Det är naturligtvis inte gott att säga, vad riksdagen menade 1931, därför att frågan om rekryttiden och underbefälsutbildningstiden var, efter vad jag kan förstå, inte alls på tal då. Men så som jag ser saken, ligger den så till, att riksdagsbeslutet och den kungl. kungörelsen angående understödsrätten blevo så formulerade, att det därmed gavs ett löfte åt vederbörande om understödsrätt, vilket sedan visade sig inte kunna uppfyllas. Om det nu ligger till på det sättet, att man först efteråt kommit underfund med att kostnaderna skulle bli så avsevärt mycket större, eller på det sättet, att man från vederbörande ämbetsverks sida från början hade förutsatt denna begränsning, som sedan blev uttalad i det kungl. cirkuläret, vill inte jag döma om. Men min uppfattning är den, att på grund av formuleringarna av riksdagsbeslutet och av kungörelsen med anledning av detsamma har det givits ett löfte åt dessa f. d.</w:t>
        <w:br/>
        <w:br/>
        <w:t xml:space="preserve">stamanställda, som vi enligt min uppfattning ha en moralisk skyldighet att Ång. uppfylla oberoende av kostnaden. Det är visserligen en avsevärd ökning — för vått tull från cirka 100,000 kronor och till över 700,000 kronor — men har man skrivit underhåll på en växel, får man ju stå för densamma, även med risk att förlora. Och från Vadstena kostnaderna i det här fallet kunna inte avskräcka mig åtminstone. krigsmans- Jag vet, att här finnas ute i Sveriges bygder gamla f. d. stamanställda, huskassa. som med tacksamhet och glädje mottogo meddelande om detta riksdagens be- (Forts.) slut och som ha gått och hoppats på att få en liten pension, ett understöd på sin ålderdom, och som blivit synnerligen besvikna, när de sedan ha funnit, att deras förhoppningar inte ha kunnat uppfyllas på grund därav, att det har kommit till någonting, som de, när de ansökte, inte hade någon som helst kännedom om. Nu föreligger i det här fallet en reservation, i vilken tre ledamöter av bankoutskottet hemställa, att riksdagen måtte med den motivering, som de här anföra, uttala och besluta, »att riksdagen, med bifall till den i ämnet väckta motionen II: 32, må förklara, att vid beräkning av tjänstgöringstid för rätt till underhåll från Vadstena krigsmanshuskassa enligt de av 1931 års riksdag beslutade grunderna all fullgjord tjänstgöring skall inräknas». Kostnadsökningen är ju störst första året, kan man säga, och kommer att sjunka, allt eftersom de gamla falla ifrån. Jag anser, att denna kammare borde på grund av de omständigheter, som här föreligga, vid denna frågas föregående utredning och med hänsyn just till de förhoppningar, som de f. d. stamanställda ha ställt på riksdagsbeslutet 1931, bifalla detta reservationsvis framställda yrkande. Jag hemställer om bifall till detsamma. Därjämte ber jag, att med herr talmannens benägna tillåtelse få göra ett alternativt yrkande beträffande utskottets motivering, om det nu skulle bli så, att kammaren följde utskottsmajoritetens hemställan, som slutar sålunda: »En sådan utvidgning kan utskottet för sin del icke förorda, så mycket mindre som efter utskottets uppfattning det indelta manskapet i pensionshänseende redan måste anses väl tillgodosett i förhållande till de prestationer, de under anställningstiden haft att fullgöra.» Jag tycker, att det är litet hårt att säga detta om prestationerna av dessa gratialister, som det här är fråga om. Det drabbar ju inte bara dem, som nu inte kunna komma i åtnjutande av understöd, utan det drabbar också lika mycket dem, som redan nu uppbära understöd. Det kan väl vara så, att man ur pacifistisk synpunkt möjligen kan anse, att värdet av det arbete i fosterlandets tjänst, som dessa gamla knektar utfört, kan diskuteras. Men de ha dock troget fullgjort sin plikt emot Kungl. Maj:t och kronan. De ha under försakelse och mödor, många gånger inte bara för sig själva utan för hemmavarande </w:t>
      </w:r>
      <w:r>
        <w:rPr>
          <w:b/>
        </w:rPr>
        <w:t>hustru²</w:t>
      </w:r>
      <w:r>
        <w:rPr>
          <w:b w:val="0"/>
        </w:rPr>
        <w:t xml:space="preserve"> och barn, år efter år lojalt fullgjort sina åligganden. Jag kan inte finna annat än att det där tillägget om prestationerna kan vara tämligen onödigt att göra i detta sammanhang. Jag föreställer mig, att om de gamla knektar, som nu uppbära understöd från Vadstena krigsmanshuskassa, få del av detta riksdagsbeslut i samband med ett avstyrkande av ökade möjligheter till understöd för deras kamrater, som inte ha så lång tjänstgöringstid som de själva, tänka de kanske som dragonen i Fänrik Ståls Sägner sade: »Giv åt Stål en penning även, eller tag ock min!» Jag hemställer alltså alternativt, herr talman, att utskottets motivering måtte sluta med första delen av sista meningen »En sådan utvidgning kan utskottet för sin del icke förorda» och därmed punkt, så att de sista raderna strykas. Men helst ser jag ju, att kammaren bifaller reservationen såsom jag förut har yrkat.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701</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