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726</w:t>
      </w:r>
    </w:p>
    <w:p>
      <w:r>
        <w:rPr>
          <w:b/>
        </w:rPr>
        <w:t xml:space="preserve">Datum: </w:t>
      </w:r>
      <w:r>
        <w:t>1933-05-10</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1917 framlades ett förslag som åsyftade att på revisionistisk väg göra en väsentlig omdaning av grundlagarna, men det inträffade icke då någon revolution, såsom herr Hellberg envist påstod att Jag skulle ha sagt och menat.</w:t>
        <w:br/>
        <w:br/>
        <w:t xml:space="preserve">Varder utländsk man, på ansökan enligt 5 $, upptagen till svensk medborgare, bestämmer Konungen, huruvida detta skall medföra svensk medborgarskap även för hans </w:t>
      </w:r>
      <w:r>
        <w:rPr>
          <w:b/>
        </w:rPr>
        <w:t>hustru²</w:t>
      </w:r>
      <w:r>
        <w:rPr>
          <w:b w:val="0"/>
        </w:rPr>
        <w:t xml:space="preserve"> och ogifta barn i äktenskap under tjuguett år. </w:t>
      </w:r>
      <w:r>
        <w:rPr>
          <w:b/>
        </w:rPr>
        <w:t>Hustrun²</w:t>
      </w:r>
      <w:r>
        <w:rPr>
          <w:b w:val="0"/>
        </w:rPr>
        <w:t xml:space="preserve"> skall, där ej särskilda skäl föranleda annat, beredas tillfälle att i ärendet avgiva yttrande. Förblir </w:t>
      </w:r>
      <w:r>
        <w:rPr>
          <w:b/>
        </w:rPr>
        <w:t>hon²</w:t>
      </w:r>
      <w:r>
        <w:rPr>
          <w:b w:val="0"/>
        </w:rPr>
        <w:t xml:space="preserve">, trots mannens förvärv av svenskt medborgarskap, medborgare i främmande stat, må svenskt medborgarskap ej tillläggas </w:t>
      </w:r>
      <w:r>
        <w:rPr>
          <w:b/>
        </w:rPr>
        <w:t>henne²</w:t>
      </w:r>
      <w:r>
        <w:rPr>
          <w:b w:val="0"/>
        </w:rPr>
        <w:t xml:space="preserve">, med mindre </w:t>
      </w:r>
      <w:r>
        <w:rPr>
          <w:b/>
        </w:rPr>
        <w:t>hon²</w:t>
      </w:r>
      <w:r>
        <w:rPr>
          <w:b w:val="0"/>
        </w:rPr>
        <w:t xml:space="preserve"> därtill samtyckt.</w:t>
      </w:r>
    </w:p>
    <w:p>
      <w:pPr>
        <w:pStyle w:val="Heading2"/>
      </w:pPr>
      <w:r>
        <w:t>2. Carl Axel Reuterskiöld (Utan partibeteckning, man)</w:t>
      </w:r>
    </w:p>
    <w:p>
      <w:r>
        <w:rPr>
          <w:b w:val="0"/>
        </w:rPr>
        <w:t>Jag vill till en början påpeka att på sid. 5 i första momentet av reservationens kläm har genom förbiseende kommit att stå »icke medför», men det bör stå »icke må medföra».</w:t>
        <w:br/>
        <w:br/>
        <w:t xml:space="preserve">Beträffande föreliggande förslag innebär det i förhållande till nuvarande rätt, att </w:t>
      </w:r>
      <w:r>
        <w:rPr>
          <w:b/>
        </w:rPr>
        <w:t>hustruns²</w:t>
      </w:r>
      <w:r>
        <w:rPr>
          <w:b w:val="0"/>
        </w:rPr>
        <w:t xml:space="preserve"> naturalisation automatiskt sker i samband med mannens. Redan nu kan dock Kungl. Maj:t, när mannen söker naturalisation, besluta, att </w:t>
      </w:r>
      <w:r>
        <w:rPr>
          <w:b/>
        </w:rPr>
        <w:t>hon²</w:t>
      </w:r>
      <w:r>
        <w:rPr>
          <w:b w:val="0"/>
        </w:rPr>
        <w:t xml:space="preserve"> icke skall bli delaktig av densamma, men därest icke något beslut fattas, blir </w:t>
      </w:r>
      <w:r>
        <w:rPr>
          <w:b/>
        </w:rPr>
        <w:t>hon²</w:t>
      </w:r>
      <w:r>
        <w:rPr>
          <w:b w:val="0"/>
        </w:rPr>
        <w:t xml:space="preserve"> automatiskt delaktig därav. Det innebär otvivelaktigt en given förbättring av medborgarskapslagens 6 $, då det nu skall heta: »bestämmer Konungen, huruvida detta skall medföra svenskt medborgarskap även för hans </w:t>
      </w:r>
      <w:r>
        <w:rPr>
          <w:b/>
        </w:rPr>
        <w:t>hustru²</w:t>
      </w:r>
      <w:r>
        <w:rPr>
          <w:b w:val="0"/>
        </w:rPr>
        <w:t xml:space="preserve"> och ogifta barn». I denna punkt har jag intet att erinra mot förslaget. Likaså har jag för min del ingenting att erinra mot förslaget 1 vad det avser, att gift </w:t>
      </w:r>
      <w:r>
        <w:rPr>
          <w:b/>
        </w:rPr>
        <w:t>kvinna¹</w:t>
      </w:r>
      <w:r>
        <w:rPr>
          <w:b w:val="0"/>
        </w:rPr>
        <w:t xml:space="preserve"> icke skall mot sin vilja naturaliseras, då </w:t>
      </w:r>
      <w:r>
        <w:rPr>
          <w:b/>
        </w:rPr>
        <w:t>hon²</w:t>
      </w:r>
      <w:r>
        <w:rPr>
          <w:b w:val="0"/>
        </w:rPr>
        <w:t xml:space="preserve"> icke har tagit hemvist i landet eller följt med mannen. Vad jag däremot anser böra ske, helst denna konvention öppnar möjlighet att så göra, det är att riksdagen fordrar en reservation utöver den som Kungl. Maj:t redan gjort; detta inverkar icke ett spår på ratifikationen. Och denna reservation liksom motsvarande ändring i lagtexten skulle då innebära, att om gift </w:t>
      </w:r>
      <w:r>
        <w:rPr>
          <w:b/>
        </w:rPr>
        <w:t>kvinna¹</w:t>
      </w:r>
      <w:r>
        <w:rPr>
          <w:b w:val="0"/>
        </w:rPr>
        <w:t xml:space="preserve"> följer sin man till Sverige och han där söker naturalisation och </w:t>
      </w:r>
      <w:r>
        <w:rPr>
          <w:b/>
        </w:rPr>
        <w:t>hon²</w:t>
      </w:r>
      <w:r>
        <w:rPr>
          <w:b w:val="0"/>
        </w:rPr>
        <w:t xml:space="preserve"> har yttrat sig, skall Kungl. Maj:t kunna ge </w:t>
      </w:r>
      <w:r>
        <w:rPr>
          <w:b/>
        </w:rPr>
        <w:t>henne²</w:t>
      </w:r>
      <w:r>
        <w:rPr>
          <w:b w:val="0"/>
        </w:rPr>
        <w:t xml:space="preserve"> svenskt statsborgarskap, vare sig </w:t>
      </w:r>
      <w:r>
        <w:rPr>
          <w:b/>
        </w:rPr>
        <w:t>hon²</w:t>
      </w:r>
      <w:r>
        <w:rPr>
          <w:b w:val="0"/>
        </w:rPr>
        <w:t xml:space="preserve"> har instämt i mannens begäran eller icke. Har </w:t>
      </w:r>
      <w:r>
        <w:rPr>
          <w:b/>
        </w:rPr>
        <w:t>hon²</w:t>
      </w:r>
      <w:r>
        <w:rPr>
          <w:b w:val="0"/>
        </w:rPr>
        <w:t xml:space="preserve"> icke kommit hit, icke tagit hemvist här, då är det ganska naturligt, att man i en dylik situation ej naturaliserar </w:t>
      </w:r>
      <w:r>
        <w:rPr>
          <w:b/>
        </w:rPr>
        <w:t>henne²</w:t>
      </w:r>
      <w:r>
        <w:rPr>
          <w:b w:val="0"/>
        </w:rPr>
        <w:t xml:space="preserve">, utan att </w:t>
      </w:r>
      <w:r>
        <w:rPr>
          <w:b/>
        </w:rPr>
        <w:t>hon²</w:t>
      </w:r>
      <w:r>
        <w:rPr>
          <w:b w:val="0"/>
        </w:rPr>
        <w:t xml:space="preserve"> därtill gett sitt samtycke. Det är icke säkert, att även om </w:t>
      </w:r>
      <w:r>
        <w:rPr>
          <w:b/>
        </w:rPr>
        <w:t>hon²</w:t>
      </w:r>
      <w:r>
        <w:rPr>
          <w:b w:val="0"/>
        </w:rPr>
        <w:t xml:space="preserve"> samtycker, Kungl. Maj:t medger naturalisationen. Den friheten har Kungl. Maj:t alltjämt.</w:t>
        <w:br/>
        <w:br/>
        <w:t xml:space="preserve">Bakom den reservation, som jag tillåtit mig jämte några av utskottets övriga ledamöter att avge, står den, som jag vill kalla den, europeiska uppfattningen av äktenskapet, och denna europeiska uppfattning ser i äktenskapet en enhet, ser i familjen en gemenskap och vill så långt möjligt är bevara dess enhet. Därav följer, att när </w:t>
      </w:r>
      <w:r>
        <w:rPr>
          <w:b/>
        </w:rPr>
        <w:t>hustrun²</w:t>
      </w:r>
      <w:r>
        <w:rPr>
          <w:b w:val="0"/>
        </w:rPr>
        <w:t xml:space="preserve"> följer med sin man till främmande land och där tager sitt hemvist, och mannen söker naturalisation, så gäller för </w:t>
      </w:r>
      <w:r>
        <w:rPr>
          <w:b/>
        </w:rPr>
        <w:t>henne²</w:t>
      </w:r>
      <w:r>
        <w:rPr>
          <w:b w:val="0"/>
        </w:rPr>
        <w:t xml:space="preserve"> denna hemgemenskap. Jag kan icke se annat än att om ett land finner lyckligt att icke splittra familjen, så skall den kunna göra det, även om </w:t>
      </w:r>
      <w:r>
        <w:rPr>
          <w:b/>
        </w:rPr>
        <w:t>kvinnan¹</w:t>
      </w:r>
      <w:r>
        <w:rPr>
          <w:b w:val="0"/>
        </w:rPr>
        <w:t>, som är ett vacklande och ombytligt ting — som bekant är det en romersk utsaga — skulle sätta sig på tvären. Bakom texten står, sådan den lyder i konventionen, den amerikanska uppfattningen av äktenskapet,</w:t>
        <w:br/>
        <w:br/>
        <w:t>och den är en helt annan. Den gör sig gällande i hela den amerikanska rätts-</w:t>
        <w:br/>
        <w:br/>
        <w:t>bildningen för övrigt. Jag anser, herr talman, att det icke finns några skäl,</w:t>
        <w:br/>
        <w:br/>
        <w:t>varför vi skulle uppgiva en gammal svensk ståndpunkt i detta avseende, och</w:t>
        <w:br/>
        <w:br/>
        <w:t>jag ber därför att få yrka bifall till reservationen i den punkt, där den av-</w:t>
      </w:r>
    </w:p>
    <w:p>
      <w:pPr>
        <w:pStyle w:val="Heading2"/>
      </w:pPr>
      <w:r>
        <w:t>3. Östen Unden (Socialdemokraterna, man)</w:t>
      </w:r>
    </w:p>
    <w:p>
      <w:r>
        <w:rPr>
          <w:b w:val="0"/>
        </w:rPr>
        <w:t>Den föregående talaren har yrkat bifall till en av honom jämte några övriga ledamöter av utskottet avgiven reservation. Jag skall be att med några ord få motivera den ståndpunkt, till vilken Kungl. Maj:t har kommit i propositionen och som är biträdd av konstitutionsutskottets majoritet.</w:t>
        <w:br/>
        <w:br/>
        <w:t xml:space="preserve">Det gäller här en artikel i konventionen, som säger att mannens naturalisation under äktenskapet icke medför förändring i </w:t>
      </w:r>
      <w:r>
        <w:rPr>
          <w:b/>
        </w:rPr>
        <w:t>hustruns²</w:t>
      </w:r>
      <w:r>
        <w:rPr>
          <w:b w:val="0"/>
        </w:rPr>
        <w:t xml:space="preserve"> medborgarskap, med mindre </w:t>
      </w:r>
      <w:r>
        <w:rPr>
          <w:b/>
        </w:rPr>
        <w:t>hon²</w:t>
      </w:r>
      <w:r>
        <w:rPr>
          <w:b w:val="0"/>
        </w:rPr>
        <w:t xml:space="preserve"> därtill samtycker. Det är alltså ett medgivande till ett krav, som allt starkare har framförts under senare år, att gift </w:t>
      </w:r>
      <w:r>
        <w:rPr>
          <w:b/>
        </w:rPr>
        <w:t>kvinna¹</w:t>
      </w:r>
      <w:r>
        <w:rPr>
          <w:b w:val="0"/>
        </w:rPr>
        <w:t xml:space="preserve"> skall tillerkännas större självständighet i nationalitetsspörsmål. Den omständigheten att mannen alltså ansöker om medborgarskap i ett visst land tillhörande konventionsstaterna skall enligt denna artikel icke medföra, att </w:t>
      </w:r>
      <w:r>
        <w:rPr>
          <w:b/>
        </w:rPr>
        <w:t>hustrun²</w:t>
      </w:r>
      <w:r>
        <w:rPr>
          <w:b w:val="0"/>
        </w:rPr>
        <w:t xml:space="preserve"> automatiskt förvärvar samma medborgarskap som mannen, om </w:t>
      </w:r>
      <w:r>
        <w:rPr>
          <w:b/>
        </w:rPr>
        <w:t>hon²</w:t>
      </w:r>
      <w:r>
        <w:rPr>
          <w:b w:val="0"/>
        </w:rPr>
        <w:t xml:space="preserve"> icke är med om den saken. Redan för närvarande kan Kungl. Maj:t enligt svensk lag förfara på det sättet, att vid naturalisation en ansökan av mannen beviljas och samtidigt det uttryckligen förklaras, att medborgarskapet ej omfattar även </w:t>
      </w:r>
      <w:r>
        <w:rPr>
          <w:b/>
        </w:rPr>
        <w:t>hustrun²</w:t>
      </w:r>
      <w:r>
        <w:rPr>
          <w:b w:val="0"/>
        </w:rPr>
        <w:t xml:space="preserve">. Man kunde alltså strängt taget ifrågasätta, om en lagändring vore behövlig för att bringa dessa i konventionen upptagna regler i tillämpning i Sverige. Lagtexten innefattar emellertid en instruktion till Kungl. Maj:t för att garantera, att denna konventionsbestämmelse iakttages. Det heter i den föreslagna lagen, att Kungl. Maj:t får icke låta merborgarskapet omfatta även </w:t>
      </w:r>
      <w:r>
        <w:rPr>
          <w:b/>
        </w:rPr>
        <w:t>hustrun²</w:t>
      </w:r>
      <w:r>
        <w:rPr>
          <w:b w:val="0"/>
        </w:rPr>
        <w:t xml:space="preserve">, om </w:t>
      </w:r>
      <w:r>
        <w:rPr>
          <w:b/>
        </w:rPr>
        <w:t>hon²</w:t>
      </w:r>
      <w:r>
        <w:rPr>
          <w:b w:val="0"/>
        </w:rPr>
        <w:t xml:space="preserve"> icke därtill samtycker, och det är endast fråga om sådana fall, där </w:t>
      </w:r>
      <w:r>
        <w:rPr>
          <w:b/>
        </w:rPr>
        <w:t>hustrun²</w:t>
      </w:r>
      <w:r>
        <w:rPr>
          <w:b w:val="0"/>
        </w:rPr>
        <w:t xml:space="preserve">, bibehåller en annan stats nationalitet trots mannens naturalisation. Det är alltså i främsta rummet en principfråga, ett spörsmål huruvida man vill tillerkänna gift </w:t>
      </w:r>
      <w:r>
        <w:rPr>
          <w:b/>
        </w:rPr>
        <w:t>kvinna¹</w:t>
      </w:r>
      <w:r>
        <w:rPr>
          <w:b w:val="0"/>
        </w:rPr>
        <w:t xml:space="preserve"> denna ökade självständighet i nationalitetsfrågor. Det är</w:t>
        <w:br/>
        <w:br/>
        <w:t xml:space="preserve">ju en fråga, där riksdagen tidigare uttalat sympati för att gå längre än man i nuvarande lag gör i fråga om att erkänna </w:t>
      </w:r>
      <w:r>
        <w:rPr>
          <w:b/>
        </w:rPr>
        <w:t>hustruns²</w:t>
      </w:r>
      <w:r>
        <w:rPr>
          <w:b w:val="0"/>
        </w:rPr>
        <w:t xml:space="preserve"> självständighet. Om man ser saken från praktisk synpunkt, är det klart, att det inträffar icke många fall, då icke en utländsk </w:t>
      </w:r>
      <w:r>
        <w:rPr>
          <w:b/>
        </w:rPr>
        <w:t>hustru²</w:t>
      </w:r>
      <w:r>
        <w:rPr>
          <w:b w:val="0"/>
        </w:rPr>
        <w:t xml:space="preserve">, som följer sin man till Sverige, också vill ha samma nationalitet som mannen. Men det kan ju dock finnas särskilda skäl. Vi kunna tänka oss exempelvis det fallet, att två danska makar ha slagit sig ned i Sverige och bott här åtskilliga år. Mannen finner av särskilda skäl önskvärt att förvärva svensk nationalitet, men </w:t>
      </w:r>
      <w:r>
        <w:rPr>
          <w:b/>
        </w:rPr>
        <w:t>hustrun²</w:t>
      </w:r>
      <w:r>
        <w:rPr>
          <w:b w:val="0"/>
        </w:rPr>
        <w:t xml:space="preserve">, som kanske har någon utbildning, som gör </w:t>
      </w:r>
      <w:r>
        <w:rPr>
          <w:b/>
        </w:rPr>
        <w:t>henne²</w:t>
      </w:r>
      <w:r>
        <w:rPr>
          <w:b w:val="0"/>
        </w:rPr>
        <w:t xml:space="preserve"> kompetent en gång senare, om </w:t>
      </w:r>
      <w:r>
        <w:rPr>
          <w:b/>
        </w:rPr>
        <w:t>hon²</w:t>
      </w:r>
      <w:r>
        <w:rPr>
          <w:b w:val="0"/>
        </w:rPr>
        <w:t xml:space="preserve"> sedermera återvänder till sitt hemland, att lättare förvärva sin utkomst, om </w:t>
      </w:r>
      <w:r>
        <w:rPr>
          <w:b/>
        </w:rPr>
        <w:t>hon²</w:t>
      </w:r>
      <w:r>
        <w:rPr>
          <w:b w:val="0"/>
        </w:rPr>
        <w:t xml:space="preserve"> bibehåller sin danska nationalitet, gör uttryckligt förbehåll, att </w:t>
      </w:r>
      <w:r>
        <w:rPr>
          <w:b/>
        </w:rPr>
        <w:t>hon²</w:t>
      </w:r>
      <w:r>
        <w:rPr>
          <w:b w:val="0"/>
        </w:rPr>
        <w:t xml:space="preserve"> icke önskar få svensk nationalitet samtidigt som mannen. Det kan näppeligen finnas något praktiskt skäl, varför man skulle vägra redan för närvarande att låta en nationalitetsändring inskränka sig endast till mannen. Reservanterna ha endast pekat på en praktisk olägenhet, som skulle uppkomma. Det säges, att om makarna skulle komma i behov av fattigunderstöd, skulle det kunna medföra, att helt andra regler rörande fattigunderstöd bleve tillämpade på </w:t>
      </w:r>
      <w:r>
        <w:rPr>
          <w:b/>
        </w:rPr>
        <w:t>hustrun²</w:t>
      </w:r>
      <w:r>
        <w:rPr>
          <w:b w:val="0"/>
        </w:rPr>
        <w:t xml:space="preserve"> än på mannen. Det syftar väl på det förhållandet, att utlänning, som kommer i behov av fattigunderstöd, kan hemskickas till sitt hemland, och då skulle det alltså kunna inträda den situation, att det skulle kunna ifrågasättas att skicka </w:t>
      </w:r>
      <w:r>
        <w:rPr>
          <w:b/>
        </w:rPr>
        <w:t>hustrun²</w:t>
      </w:r>
      <w:r>
        <w:rPr>
          <w:b w:val="0"/>
        </w:rPr>
        <w:t>, som har annan nationalitet, tillbaka till sitt hemland trots mannens sven-</w:t>
        <w:br/>
        <w:br/>
        <w:t xml:space="preserve">ska medborgarskap. Emellertid förekommer redan för närvarande mycket ofta, att utlänning, som är i behov av fattigunderstöd, ändå ej skickas hem till sitt hemland av ömmande skäl. De kunna ha varit länge bosatta i Sverige eller det kan vara andra omständigheter som göra, att man icke gärna kan ifrågasätta deras hemsändande. Nästan i varje konselj beslutar Kungl. Maj:t i dylika fall, att utlänning får stanna i Sverige, och då blir det praktiska resultatet, att fattigvårdshjälpen utgår genom statsmedel i stället för från kommunerna. De ytterligt få fall, där det kan ifrågakomma, att makar, som ha olika nationalitet, komma i behov av fattigunderstöd, tror jag ej böra spela någon som helst roll vid denna frågas avgörande. Jag erinrar om att en gift </w:t>
      </w:r>
      <w:r>
        <w:rPr>
          <w:b/>
        </w:rPr>
        <w:t>kvinna¹</w:t>
      </w:r>
      <w:r>
        <w:rPr>
          <w:b w:val="0"/>
        </w:rPr>
        <w:t xml:space="preserve"> givetvis icke begär att få behålla sin ursprungliga nationalitet annat än om </w:t>
      </w:r>
      <w:r>
        <w:rPr>
          <w:b/>
        </w:rPr>
        <w:t>hon²</w:t>
      </w:r>
      <w:r>
        <w:rPr>
          <w:b w:val="0"/>
        </w:rPr>
        <w:t xml:space="preserve"> har verkliga skäl för det. Jag tror därför, att kammaren bör antaga utskottets.förslag, och att det icke medför någon som helst olägenhet, om detta förslag blir bifallet.</w:t>
      </w:r>
    </w:p>
    <w:p>
      <w:pPr>
        <w:pStyle w:val="Heading2"/>
      </w:pPr>
      <w:r>
        <w:t>4. Gottfrid Karlsson (Socialdemokraterna, man)</w:t>
      </w:r>
    </w:p>
    <w:p>
      <w:r>
        <w:rPr>
          <w:b w:val="0"/>
        </w:rPr>
        <w:t xml:space="preserve">Jag har icke mycket att tillägga till försvar för utskottets utlåtande utöver vad som nu framfördes av herr statsrådet. Jag vill endast understryka, att denna art. ju avser att ge gift </w:t>
      </w:r>
      <w:r>
        <w:rPr>
          <w:b/>
        </w:rPr>
        <w:t>kvinna¹</w:t>
      </w:r>
      <w:r>
        <w:rPr>
          <w:b w:val="0"/>
        </w:rPr>
        <w:t xml:space="preserve"> en större möjlighet att själv bestämma, huruvida </w:t>
      </w:r>
      <w:r>
        <w:rPr>
          <w:b/>
        </w:rPr>
        <w:t>hon²</w:t>
      </w:r>
      <w:r>
        <w:rPr>
          <w:b w:val="0"/>
        </w:rPr>
        <w:t xml:space="preserve"> skall få erövra ett annat lands medborgarskap eller ej. Jag vill endast erinra om att andra kammaren nyss har bifallit utskottets hemställan, och jag ber med detta endast, herr talman, att få hemställa om bifall till utskottets förslag.</w:t>
      </w:r>
    </w:p>
    <w:p>
      <w:pPr>
        <w:pStyle w:val="Heading2"/>
      </w:pPr>
      <w:r>
        <w:t>5. Kerstin Hesselgren (Folkpartiet, woman)</w:t>
      </w:r>
    </w:p>
    <w:p>
      <w:r>
        <w:rPr>
          <w:b w:val="0"/>
        </w:rPr>
        <w:t xml:space="preserve">Herr talman! Jag anser mig skyldig att säga några ord i denna sak, därför att det gäller ratifikationen av en konvention, om vilken det stått strid allt sedan den kom till år 1930. I den striden ha </w:t>
      </w:r>
      <w:r>
        <w:rPr>
          <w:b/>
        </w:rPr>
        <w:t>kvinnorna¹</w:t>
      </w:r>
      <w:r>
        <w:rPr>
          <w:b w:val="0"/>
        </w:rPr>
        <w:t xml:space="preserve">, om jag undantager vissa grupper av de katolska </w:t>
      </w:r>
      <w:r>
        <w:rPr>
          <w:b/>
        </w:rPr>
        <w:t>kvinnorna¹</w:t>
      </w:r>
      <w:r>
        <w:rPr>
          <w:b w:val="0"/>
        </w:rPr>
        <w:t xml:space="preserve">, stått fullkomligt eniga i hela världen i sin kritik över denna konvention. Enligt kvin- "noorganisationernas mening lagfäster denna konvention nämligen någonting, som går emot den fulla likställigheten mellan män och </w:t>
      </w:r>
      <w:r>
        <w:rPr>
          <w:b/>
        </w:rPr>
        <w:t>kvinnor¹</w:t>
      </w:r>
      <w:r>
        <w:rPr>
          <w:b w:val="0"/>
        </w:rPr>
        <w:t xml:space="preserve">. Detta motstånd från </w:t>
      </w:r>
      <w:r>
        <w:rPr>
          <w:b/>
        </w:rPr>
        <w:t>kvinnohåll¹</w:t>
      </w:r>
      <w:r>
        <w:rPr>
          <w:b w:val="0"/>
        </w:rPr>
        <w:t xml:space="preserve"> förde med sig, att Nationernas förbund ansåg sig förpliktigat att taga upp saken till diskussion. Det gjordes år 1931 och resultatet blev att generalförsamlingen beslöt att till regeringarna sända en förfrågan, huruvida man ej skulle anse lämpligt att taga upp denna Haagkonvention till revision redan innan 1936, då man enligt författningen har rättighet att göra det. Av denna undersökning framgick två saker av intresse. Det ena var att det visade sig, att trots att endast tre nationer hade ratificerat konventionen i fråga, fanns det bland nationerna ett övervägande antal, som ansåg, att de ur praktiska skäl voro tvungna att ratificera. Det andra var att i flertalet yttranden regeringarna framhålla, att de för sin del förstå den tvekan, som uttalats från </w:t>
      </w:r>
      <w:r>
        <w:rPr>
          <w:b/>
        </w:rPr>
        <w:t>kvinnornas¹</w:t>
      </w:r>
      <w:r>
        <w:rPr>
          <w:b w:val="0"/>
        </w:rPr>
        <w:t xml:space="preserve"> håll, och att ett behov av revision kan förefinnas. En sådan inställning till frågan hade också den svenska regeringen intagit i sitt svar till Nationernas förbund, och därför var det som </w:t>
      </w:r>
      <w:r>
        <w:rPr>
          <w:b/>
        </w:rPr>
        <w:t>kvinnoorganisationerna¹</w:t>
      </w:r>
      <w:r>
        <w:rPr>
          <w:b w:val="0"/>
        </w:rPr>
        <w:t xml:space="preserve"> i Sverige ansågo sig kunna taga den ståndpunkten, att vi för vår del icke motsätta oss en ratificering av denna konvention, men mena, att därmed är saken ej slutbehandlad utan att arbetet med densamma bör fortsättas för att söka komma fram till större likställighet.</w:t>
        <w:br/>
        <w:br/>
        <w:t>När nu frågan togs under behandling i Geneve i höstas, blev den underkastad en verkligt grundlig, allvarlig och mångsidig prövning, och det resulterade i en resolution, som visserligen gick ut på att uppmana regeringarna att ratificera konventionen, men som också tillade, att ratifikationen av densamma inte på något sätt vore prejudicerande för en utveckling i den rikt-</w:t>
        <w:br/>
        <w:br/>
        <w:t xml:space="preserve">ning, som </w:t>
      </w:r>
      <w:r>
        <w:rPr>
          <w:b/>
        </w:rPr>
        <w:t>kvinnoorganisationerna¹</w:t>
      </w:r>
      <w:r>
        <w:rPr>
          <w:b w:val="0"/>
        </w:rPr>
        <w:t xml:space="preserve"> önska. Vidare framhöll den, att Nationernas förbund genom sin generalsekreterare skulle följa utvecklingen i de olika länderna för att se, när tidpunkten kunde vara inne att åter ta upp frågan om revision. Slutligen stryker resolutionen under, att den omständigheten, att man har ratificerat konventionen, inte hindrar, att de nationella lagstiftarna kunna ta upp frågan om full likställighet i medborgarrättsligt hänseende mellan män och </w:t>
      </w:r>
      <w:r>
        <w:rPr>
          <w:b/>
        </w:rPr>
        <w:t>kvinnor¹</w:t>
      </w:r>
      <w:r>
        <w:rPr>
          <w:b w:val="0"/>
        </w:rPr>
        <w:t>.</w:t>
        <w:br/>
        <w:br/>
        <w:t xml:space="preserve">Såsom svenska regeringens ombud kom jag att mycket aktivt deltaga i behandlingen av denna fråga. När sålunda denna resolution kom fram och blev antagen av Nationernas förbund, är det klart, att jag reste hem med ganska stora förhoppningar om, att svenska regeringen vid upptagandet av frågan om ratifikation av denna konvention och därmed sammanhängande ändring av vår egen medborgarlag också skulle följa Nationernas förbunds uppmaning att därvid taga hänsyn till de krav, som från </w:t>
      </w:r>
      <w:r>
        <w:rPr>
          <w:b/>
        </w:rPr>
        <w:t>kvinnohåll¹</w:t>
      </w:r>
      <w:r>
        <w:rPr>
          <w:b w:val="0"/>
        </w:rPr>
        <w:t xml:space="preserve"> så starkt strukits under. Samtliga svenska </w:t>
      </w:r>
      <w:r>
        <w:rPr>
          <w:b/>
        </w:rPr>
        <w:t>kvinnoorganisationer¹</w:t>
      </w:r>
      <w:r>
        <w:rPr>
          <w:b w:val="0"/>
        </w:rPr>
        <w:t xml:space="preserve"> av någon betydenhet gingo också omedelbart in till regeringen med hemställan om, att man vid den revision av vår medborgarlag, som vore nödvändig för att man skulle kunna ratificera konventionen, inte bara skulle ta upp de detaljer som voro betingade av ratifikationen utan också ta hänsyn till vad lagrådet yttrade år 1924, när vår medborgarskapslag kom till, nämligen att en ändring av vår lag i riktning mot full likställighet inte skulle behöva medföra några större svårigheter, förutsatt att de internationella förhållandena vore sådana, att man inte behövde befara, att någon </w:t>
      </w:r>
      <w:r>
        <w:rPr>
          <w:b/>
        </w:rPr>
        <w:t>kvinna¹</w:t>
      </w:r>
      <w:r>
        <w:rPr>
          <w:b w:val="0"/>
        </w:rPr>
        <w:t xml:space="preserve"> skulle bli medborgarrättslös. Nu har med Haagkonventionens framkomst och med det faktum, att 33 nationer förklarat sig ämna ratificera densamma, en situation inträtt, som gör, att man vid en lagändring i denna riktning inte behöver befara, att en </w:t>
      </w:r>
      <w:r>
        <w:rPr>
          <w:b/>
        </w:rPr>
        <w:t>kvinna¹</w:t>
      </w:r>
      <w:r>
        <w:rPr>
          <w:b w:val="0"/>
        </w:rPr>
        <w:t xml:space="preserve"> kan bli medborgarrättslös.</w:t>
        <w:br/>
        <w:br/>
        <w:t xml:space="preserve">Emellertid har regeringen i samband med förslaget om ratifikation av konventionen endast föreslagit en helt obetydlig ändring av vår medborgarrättslag. Det framhålles emellertid i den kungl. propositionen, att en större ändring inte kan göras utan hänvändelse till Danmark och Norge, då deras lagar tidigare bringats i överensstämmelse med den svenska lagen. Jag är sålunda fullkomligt på det klara med att en mera omfattande revision av vår lag inte nu omedelbart kunde göras, men jag har ansett, att jag här måste stryka under, att Kungl. Maj:t säger sig icke för närvarande kunna göra detta, ty kravet från </w:t>
      </w:r>
      <w:r>
        <w:rPr>
          <w:b/>
        </w:rPr>
        <w:t>kvinnorna¹</w:t>
      </w:r>
      <w:r>
        <w:rPr>
          <w:b w:val="0"/>
        </w:rPr>
        <w:t xml:space="preserve"> är i det fallet så pass starkt, att vi för vår del ej komma att släppa taget, och vi komma att med största intresse följa utvecklingen på denna punkt. Jag tror, att man skulle kunna påräkna intresse för en revision av lagarna i den riktning vi önska både från Danmark och Norge. Det har sagts mig, att danskarna skrivit till Nationernas förbund, att de för sin del inte vilja ratificera, därför att de anse, att frågan ännu inte är avgjord, och samtidigt stryka de under, att </w:t>
      </w:r>
      <w:r>
        <w:rPr>
          <w:b/>
        </w:rPr>
        <w:t>kvinnoorganisationerna¹</w:t>
      </w:r>
      <w:r>
        <w:rPr>
          <w:b w:val="0"/>
        </w:rPr>
        <w:t xml:space="preserve"> i deras eget land kräva en längre gående revision av lagen, och att de därför mena, att innan de ratificera konventionen är det bättre avvakta, huruvida man inte verkligen kan komma fram till en revision av Haagkonventionen.. Det är inte uttryckt i dessa ordalag, men det är meningen i det meddelande jag har fått. Jag vill därför säga, att jag hoppas man kan räkna med att Kungl. Maj:t snart skall ta upp denna fråga. Kungl. Maj:t yttrar på ett ställe i propositionen, att Kungl. Maj:t känt sig nödsakad att för närvarande icke gå vidare. I dessa uttryck »nödsakad» och »för närvarande» se vi </w:t>
      </w:r>
      <w:r>
        <w:rPr>
          <w:b/>
        </w:rPr>
        <w:t>kvinnor¹</w:t>
      </w:r>
      <w:r>
        <w:rPr>
          <w:b w:val="0"/>
        </w:rPr>
        <w:t xml:space="preserve"> ett hopp om, att denna fråga snart skall tagas upp till gemensam behandling mellan de nordiska rikena, och att resultatet av denna behandling skall bli, att när frå-</w:t>
        <w:br/>
        <w:br/>
        <w:t xml:space="preserve">Det är klart, att det med en sådan inställning till saken skall vara omöjligt för mig att rösta för reservationen. Det kan ju hända, att detta inte är någon stor sak, eftersom hela ändringen inte gäller en så stor sak, men inte annat jag fattat — och jag har i det fallet bestyrkts av herr statsrådets yttrande — är reservationen ett steg tillbaka från det lilla steg framåt, som tagits genom regeringens förslag till ändring av lagen. Herr Reuterskiöld sade, att det vore skäl att göra den i reservationen föreslagna inskränkningen, därför att </w:t>
      </w:r>
      <w:r>
        <w:rPr>
          <w:b/>
        </w:rPr>
        <w:t>kvinnokönet¹</w:t>
      </w:r>
      <w:r>
        <w:rPr>
          <w:b w:val="0"/>
        </w:rPr>
        <w:t xml:space="preserve"> vore så förfärligt vacklande. Jag vill säga herr Reuterskiöld, att om vi ibland äro vacklande, komma vi säkerligen inte att vara det på denna punkt, ty vi känna, att utvecklingen går framåt och att </w:t>
      </w:r>
      <w:r>
        <w:rPr>
          <w:b/>
        </w:rPr>
        <w:t>kvinnorna¹</w:t>
      </w:r>
      <w:r>
        <w:rPr>
          <w:b w:val="0"/>
        </w:rPr>
        <w:t xml:space="preserve"> alltmer få en i alla hänseenden jämbördig ställning och alltså även i detta. Det är bara en följd av alla de andra lagändringarna, som skett under en senare tid. I hopp om, herr talman, att jag har rätt i mitt antagande, kommer Jag att rösta för utskottets förslag.</w:t>
      </w:r>
    </w:p>
    <w:p>
      <w:pPr>
        <w:pStyle w:val="Heading2"/>
      </w:pPr>
      <w:r>
        <w:t>6. Carl Axel Reuterskiöld (Utan partibeteckning, man)</w:t>
      </w:r>
    </w:p>
    <w:p>
      <w:r>
        <w:rPr>
          <w:b w:val="0"/>
        </w:rPr>
        <w:t xml:space="preserve">Herr talman! Tyvärr kan jag inte uppmuntra tron, att den sista ärade talarinnan skulle ha rätt i sin förhoppning, ty dessa företeelser, som </w:t>
      </w:r>
      <w:r>
        <w:rPr>
          <w:b/>
        </w:rPr>
        <w:t>hon²</w:t>
      </w:r>
      <w:r>
        <w:rPr>
          <w:b w:val="0"/>
        </w:rPr>
        <w:t xml:space="preserve"> tror på såsom framsteg av varaktig natur, äro i verkligheten övergående, och modenycker bör man inte tro på.</w:t>
        <w:br/>
        <w:br/>
        <w:t>Ett par randanmärkningar skall jag tillåta mig. När den ärade talarinnan talar om vad Kungl. Maj:t säger, så är det — jag höll på att säga gudilov — inte riktigt, ty det är blott föredragande departementschefen, som yttrat Sig, och han binder ingen annan än sig själv. Det andra, beträffande vilket jag skulle vilja göra en randanmärkning, är det, att här föreligger icke någon likställighetsfråga. Det är en felsyn, som jag dock icke har tillfälle att närmare utveckla här. Jag har gjort det på ett möte i Oslo av VInstitut de droit international 1932 och likaså i en utländsk tidskrift, men det finnes ingen anledning att upptaga kammarens tid med detta spörsmål. Jag har bara för min del konstaterat, att, såvitt jag kan förstå, föreligger här intet som helst likställighetsspörsmål, utan något helt annat.</w:t>
        <w:br/>
        <w:br/>
        <w:t xml:space="preserve">Mot herr statsrådet skulle jag vilja göra ett par erinringar. Herr statsrådet har reducerat eller koncentrerat frågan till en principfråga. Jag går med på detta, men vad är det då principstriden gäller? Principstriden gäller, huruvida gift </w:t>
      </w:r>
      <w:r>
        <w:rPr>
          <w:b/>
        </w:rPr>
        <w:t>kvinnas¹</w:t>
      </w:r>
      <w:r>
        <w:rPr>
          <w:b w:val="0"/>
        </w:rPr>
        <w:t xml:space="preserve"> samtycke skall segra över samhällets intresse eller samhällets intresse över den gifta </w:t>
      </w:r>
      <w:r>
        <w:rPr>
          <w:b/>
        </w:rPr>
        <w:t>kvinnans¹</w:t>
      </w:r>
      <w:r>
        <w:rPr>
          <w:b w:val="0"/>
        </w:rPr>
        <w:t xml:space="preserve"> vilja. I alla andra fall vid naturalisation är det samhällets vilja och intresse, som är det avgörande, men här skulle det, även om samhället ansåge en naturalisation behövlig och även om den naturliga förutsättningen för detta, nämligen hemvists tagande inom riket, är för handen, vara förhindrat att göra det. Det är mot detta reservanterna vända sig.</w:t>
        <w:br/>
        <w:br/>
        <w:t xml:space="preserve">När herr statsrådet sedan säger, att det väl egentligen gäller hemsändning vid behov av fattigvård, vill jag bara tillägga, att jag delar herr statsrådets uppfattning, att hemsändning kanske icke kommer så mycket i fråga. Men det är en annan sak, som alltid kommer i fråga, och det är de olika reglerna för kostnadernas gäldande, när det är fråga om utlänning och inlänning, och den frågan lär man icke i något fall komma ifrån i detta sammanhang. Dessutom förhåller det sig så, att när man med Kungl. Maj:t, till vilken reservanterna anslutit sig för att icke göra alltför stora avvikelser i texten, talar om </w:t>
      </w:r>
      <w:r>
        <w:rPr>
          <w:b/>
        </w:rPr>
        <w:t>kvinnans¹</w:t>
      </w:r>
      <w:r>
        <w:rPr>
          <w:b w:val="0"/>
        </w:rPr>
        <w:t xml:space="preserve"> samtycke såsom avgörande, så är även det i själva verket ett off-</w:t>
        <w:br/>
        <w:br/>
        <w:t xml:space="preserve">rande i terminologi, fast icke i sak, åt ett likställighetskrav, som är 'oberättigat. Det är icke så, att mannen någonsin får samtycka, utan det är så, att mannen ansöker om medborgarskap och Kungl. Maj:t ger eller nekar honom det. Men nu skall gift </w:t>
      </w:r>
      <w:r>
        <w:rPr>
          <w:b/>
        </w:rPr>
        <w:t>kvinna¹</w:t>
      </w:r>
      <w:r>
        <w:rPr>
          <w:b w:val="0"/>
        </w:rPr>
        <w:t xml:space="preserve"> för sin del samtycka: </w:t>
      </w:r>
      <w:r>
        <w:rPr>
          <w:b/>
        </w:rPr>
        <w:t>hon²</w:t>
      </w:r>
      <w:r>
        <w:rPr>
          <w:b w:val="0"/>
        </w:rPr>
        <w:t xml:space="preserve"> placeras i helt annan ställning alltså!</w:t>
        <w:br/>
        <w:br/>
        <w:t>Emellertid har, herr talman, från enskilda håll inom kammaren uttalats en önskan, att ett förtydligande av reservationens text måtte ske, och det är</w:t>
        <w:br/>
        <w:br/>
        <w:t xml:space="preserve">mycket enkelt gjort. Det heter nu: »— — — med mindre </w:t>
      </w:r>
      <w:r>
        <w:rPr>
          <w:b/>
        </w:rPr>
        <w:t>hon²</w:t>
      </w:r>
      <w:r>
        <w:rPr>
          <w:b w:val="0"/>
        </w:rPr>
        <w:t xml:space="preserve"> tagit hemvist här i riket eller därtill samtyckt». Jag ber, herr talman, att få kasta om det så, att det kommer att heta: »— — — med mindre </w:t>
      </w:r>
      <w:r>
        <w:rPr>
          <w:b/>
        </w:rPr>
        <w:t>hon²</w:t>
      </w:r>
      <w:r>
        <w:rPr>
          <w:b w:val="0"/>
        </w:rPr>
        <w:t xml:space="preserve"> därtill samtyckt eller</w:t>
        <w:br/>
        <w:br/>
        <w:t>tagit hemvist här i riket». För mig personligen är denna form mindre tilltalande, ty »därtill samtyckt» har jag hellre på slutet — ja, egentligen vill jag icke ha den alls, men i den formen råder åtminstone ingen tvekan om vad som åsyftas.</w:t>
        <w:br/>
        <w:br/>
        <w:t xml:space="preserve">Jag ber därför, herr talman, att få vidhålla mitt yrkande om bifall till reservationen med ändring av formuleringen till »— — — med mindre </w:t>
      </w:r>
      <w:r>
        <w:rPr>
          <w:b/>
        </w:rPr>
        <w:t>hon²</w:t>
      </w:r>
      <w:r>
        <w:rPr>
          <w:b w:val="0"/>
        </w:rPr>
        <w:t xml:space="preserve"> därtill samtyckt eller tagit hemvist här i riket».</w:t>
        <w:br/>
        <w:br/>
        <w:t xml:space="preserve">Efter det överläggningen förklarats härmed slutad, yttrade herr talmannen, att i avseende på det under behandling varande utlåtandet yrkats dels att vad utskottet hemställt skulle bifallas, dels ock, av herr Reuterskiöld, att det förslag skulle antagas, som innefattades i den vid utlåtandet avgivna reservationen, dock med de ändringar i den s. k. klämmen, att dels det i punkten 1 förekommande ordet »medför» utbyttes mot »må medföra», dels ock slutorden i $ 6 i det under punkten 2 upptagna lagförslaget avfattades sålunda: »med mindre </w:t>
      </w:r>
      <w:r>
        <w:rPr>
          <w:b/>
        </w:rPr>
        <w:t>hon²</w:t>
      </w:r>
      <w:r>
        <w:rPr>
          <w:b w:val="0"/>
        </w:rPr>
        <w:t xml:space="preserve"> därtill samtyckt eller tagit hemvist här i riket».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