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732</w:t>
      </w:r>
    </w:p>
    <w:p>
      <w:r>
        <w:rPr>
          <w:b/>
        </w:rPr>
        <w:t xml:space="preserve">Datum: </w:t>
      </w:r>
      <w:r>
        <w:t>1933-05-26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Johan Alfred Gustafsson (–, man)</w:t>
      </w:r>
    </w:p>
    <w:p>
      <w:r>
        <w:rPr>
          <w:b w:val="0"/>
        </w:rPr>
        <w:t>Herr talman, mina herrar! Med den utgång, som vi nyss bevittnat beträffande en fråga under en annan punkt, tjänar det nog icke mycket till att giva sig in på att försvara reservanternas ståndpunkt, men jag kan icke hjälpa, att jag i alla fall måste säga några ord.</w:t>
        <w:br/>
        <w:br/>
        <w:t xml:space="preserve">Jag får då först säga, att det skulle ha varit ett undantag från regeln om Kungl. Maj:t i detta fall hade tagit upp till behandling frågan om pension till Leufvéns efterlevande </w:t>
      </w:r>
      <w:r>
        <w:rPr>
          <w:b/>
        </w:rPr>
        <w:t>änka²</w:t>
      </w:r>
      <w:r>
        <w:rPr>
          <w:b w:val="0"/>
        </w:rPr>
        <w:t xml:space="preserve"> och </w:t>
      </w:r>
      <w:r>
        <w:rPr>
          <w:b/>
        </w:rPr>
        <w:t>dotter²</w:t>
      </w:r>
      <w:r>
        <w:rPr>
          <w:b w:val="0"/>
        </w:rPr>
        <w:t xml:space="preserve">. Här är ett sådant fall, där mannen varit statsanställd men icke tillräckligt länge, och vid sitt på ett tidigt stadium inträffade frånfälle efterlämnade han </w:t>
      </w:r>
      <w:r>
        <w:rPr>
          <w:b/>
        </w:rPr>
        <w:t>änka²</w:t>
      </w:r>
      <w:r>
        <w:rPr>
          <w:b w:val="0"/>
        </w:rPr>
        <w:t xml:space="preserve"> och en behövande </w:t>
      </w:r>
      <w:r>
        <w:rPr>
          <w:b/>
        </w:rPr>
        <w:t>dotter²</w:t>
      </w:r>
      <w:r>
        <w:rPr>
          <w:b w:val="0"/>
        </w:rPr>
        <w:t xml:space="preserve">. Jag anser därför, att vi skulle kunna något rubba på principen och i detta fall gå in för att bifalla det förslag, som föreligger i reservationen, nämligen att en pension av 1,200 kronor årligen må tillfalla </w:t>
      </w:r>
      <w:r>
        <w:rPr>
          <w:b/>
        </w:rPr>
        <w:t>änkan²</w:t>
      </w:r>
      <w:r>
        <w:rPr>
          <w:b w:val="0"/>
        </w:rPr>
        <w:t xml:space="preserve"> och </w:t>
      </w:r>
      <w:r>
        <w:rPr>
          <w:b/>
        </w:rPr>
        <w:t>dottern²</w:t>
      </w:r>
      <w:r>
        <w:rPr>
          <w:b w:val="0"/>
        </w:rPr>
        <w:t xml:space="preserve"> efter lantbruksrådet Gustaf Leufvén, som haft tjänstgöring i Berlin.</w:t>
        <w:br/>
        <w:br/>
        <w:t>Herr talman! Med dessa få ord ber jag att få yrka bifall till den av mig och herr Laurén i denna punkt avgivna reservationen.</w:t>
      </w:r>
    </w:p>
    <w:p>
      <w:pPr>
        <w:pStyle w:val="Heading2"/>
      </w:pPr>
      <w:r>
        <w:t>2. Harald Åkerberg (Socialdemokraterna, man)</w:t>
      </w:r>
    </w:p>
    <w:p>
      <w:r>
        <w:rPr>
          <w:b w:val="0"/>
        </w:rPr>
        <w:t>Herr talman! Utskottet har icke ansett, att pension i detta fall är nödvändig. Tjänstetiden i statens tjänst är endast fyra år, och med hänsyn till den praxis, som följts i bankoutskottet tidigare, har utskottet ansett. att detta icke räcker till för pension. Det har tidigare beviljats pensioner åt änkor efter icke-ordinarie statstjänare, men undantagslöst ha vederbörande då haft att uppvisa en avsevärt längre tjänstgöringstid. Därtill kommer, att enligt papperen behållningen i boet icke är liten, närmare bestämt 36,000 kronor, samt att barnen i familjen äro vuxna. Ett av dessa barn är av sjukdom oförmöget att försörja sig självt, men om pension i detta fall skulle beviljas, torde det icke ankomma på staten att sörja därför utan på de andra institutioner, hos vilka Leufvén varit i tjänst och i främsta rummet Malmöhus läns hushållningssällskap och Sveriges Allmänna Tantbrukssällskap.</w:t>
        <w:br/>
        <w:br/>
        <w:t>Herr talman! Jag ber att få yrka bifall till utskottets hemställan.</w:t>
      </w:r>
    </w:p>
    <w:p>
      <w:pPr>
        <w:pStyle w:val="Heading2"/>
      </w:pPr>
      <w:r>
        <w:t>3. Johan Nilsson (Första kammarens nationella parti, man)</w:t>
      </w:r>
    </w:p>
    <w:p>
      <w:r>
        <w:rPr>
          <w:b w:val="0"/>
        </w:rPr>
        <w:t>Herr talman! Då Jag är motionär i detta ärende skall jag tillåta mig att yttra några få ord.</w:t>
        <w:br/>
        <w:br/>
        <w:t>Jag har motionerat därför, att jag funnit, att synnerligen goda skäl tala för, att en pension i detta fall beviljas. Det är så, att lantbruksrådet Leufvén visserligen icke innehaft reell statstjänst mer än en kort tid, men alltsedan Leufvén så att säga trädde ut i livet och började verka har han ägnat sina krafter och sin förtjänstfulla verksamhet åt det allmännas tjänst. Det framgår av utlåtandet här, att han i över 30 år innehaft tjänst, som kan anses vara, om icke direkt en statstjänst, så dock i institutioner som tjäna det allmänna. Han har sålunda under den längsta tiden varit sekreterare i Malmöhus läns hushållningssällskap och där nedlagt ett synnerligen förtjänstfullt arbete. Då han kallades därifrån, blev han ledare och direktör för Sveriges Allmänna Lantbrukssällskap, och efter det han med stort erkännande under åtskilliga år skött denna befattning kallades han till lantbruksråd med placering i Berlin. Jag menar sålunda, att han har av en hel del olika organ kallats från den ena tjänsten till den andra, vilka tjänster varit synnerligen krävande, och att det förhållandet, att han icke kan visa på någon längre statstjänst, icke bör utgöra hinder för att i detta fall räkna honom hela hans tjänstetid till godo.</w:t>
        <w:br/>
        <w:br/>
        <w:t xml:space="preserve">Det förhåller sig visserligen så, att det enligt handlingarna finnes en behållning i boet å 36,000 kronor, men jag har mig bekant, att en hel del av denna behållning består i det bo, som finnes, och det känna vi väl till att det kan, ekonomiskt mycket litet utnyttjas. Därtill kommer, att en del värdehandlingar som funnos i boet vid tiden för bouppteckningen minskat så väsentligt i värde, att några vidare inkomster av behållningen i boet icke finnas. Vidare vill jag påpeka det förhållandet, att lantbruksstyrelsen, som väl känner och förstår att värdesätta Leufvéns verksamhet, hemställt, att pension borde komma de efterlevande till godo, och statskontoret har icke velat motsätta sig detta förslag. Sålunda ha tvenne ämbetsverk, som äro synnerligen försiktiga, när det gäller sådana här saker, tillstyrkt, att pension skall utgå. Jag kan sålunda icke finna annat, än att det finnes fullt fog för, om första kammaren har hjärtat på rätta stället just nu, att gå med på att hjälpa Leufvéns </w:t>
      </w:r>
      <w:r>
        <w:rPr>
          <w:b/>
        </w:rPr>
        <w:t>änka²</w:t>
      </w:r>
      <w:r>
        <w:rPr>
          <w:b w:val="0"/>
        </w:rPr>
        <w:t>, då det finnes goda motiv att göra detta.</w:t>
        <w:br/>
        <w:br/>
        <w:t>Herr talman! Jag ber att få yrka bifall till den av herrar Gustafsson i Stensholm och Laurén vid denna punkt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