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733</w:t>
      </w:r>
    </w:p>
    <w:p>
      <w:r>
        <w:rPr>
          <w:b/>
        </w:rPr>
        <w:t xml:space="preserve">Datum: </w:t>
      </w:r>
      <w:r>
        <w:t>1933-06-20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Sigfrid Hansson (Socialdemokraterna, man)</w:t>
      </w:r>
    </w:p>
    <w:p>
      <w:r>
        <w:rPr>
          <w:b w:val="0"/>
        </w:rPr>
        <w:t>Herr talman! Jag ber att få yrka bifall till utskottets hemställan, alltså punkten oförändrad, utan de tillägg, som föreslagits.</w:t>
        <w:br/>
        <w:br/>
        <w:t>utskottets utlåtande nr 17 å sid. 126 och följande intagna sammanfattningen, röstar</w:t>
        <w:br/>
        <w:br/>
        <w:t>Såsom familjeförsörjare anses den, som har försörjningsskyldighet mot make eller mot barn eller adoptivbarn under 16 år eller som lever i gemensamt bo med och huvudsakligen underhåller föräldrar eller adoptant.</w:t>
        <w:br/>
        <w:br/>
        <w:t xml:space="preserve">Såsom familjeförsörjare anses den, som har försörjningsskyldighet mot make eller mot barn eller adoptivbarn under 16 år eller som lever i gemensamt bo med och huvudsakligen underhåller föräldrar eller adoptant, så ock ogift man gentemot </w:t>
      </w:r>
      <w:r>
        <w:rPr>
          <w:b/>
        </w:rPr>
        <w:t>kvinna¹</w:t>
      </w:r>
      <w:r>
        <w:rPr>
          <w:b w:val="0"/>
        </w:rPr>
        <w:t xml:space="preserve">, vilken såsom </w:t>
      </w:r>
      <w:r>
        <w:rPr>
          <w:b/>
        </w:rPr>
        <w:t>hustru²</w:t>
      </w:r>
      <w:r>
        <w:rPr>
          <w:b w:val="0"/>
        </w:rPr>
        <w:t xml:space="preserve"> med honom sammanbor.</w:t>
      </w:r>
    </w:p>
    <w:p>
      <w:pPr>
        <w:pStyle w:val="Heading2"/>
      </w:pPr>
      <w:r>
        <w:t>2. Sigfrid Hansson (Socialdemokraterna, man)</w:t>
      </w:r>
    </w:p>
    <w:p>
      <w:r>
        <w:rPr>
          <w:b w:val="0"/>
        </w:rPr>
        <w:t xml:space="preserve">Herr talman! Jag hemställer, att denna punkt måtte få följande lydelse, vilken återfinnes i min till utskottets utlåtande fogade reservation: »Såsom familjeförsörjare anses den, som har försörjnings-. skyldighet mot make eller mot barn eller adoptivbarn under 16 år eller som lever 1 gemensamt bo med och huvudsakligen underhåller föräldrar eller adoptant, så ock ogift man gentemot </w:t>
      </w:r>
      <w:r>
        <w:rPr>
          <w:b/>
        </w:rPr>
        <w:t>kvinna¹</w:t>
      </w:r>
      <w:r>
        <w:rPr>
          <w:b w:val="0"/>
        </w:rPr>
        <w:t xml:space="preserve">, vilken såsom </w:t>
      </w:r>
      <w:r>
        <w:rPr>
          <w:b/>
        </w:rPr>
        <w:t>hustru²</w:t>
      </w:r>
      <w:r>
        <w:rPr>
          <w:b w:val="0"/>
        </w:rPr>
        <w:t xml:space="preserve"> med honom sammanbor.» Det sista, »så ock ogift man» etc., är ett tillägg till den av utskottet föreslagna formuleringen. Jag vill nu icke närmare ingå härpå utan ber endast få erinra därom, att den bestämmelse, som påyrkats i min reservation, överensstämmer med den praxis, som har utformats av arbetslöshetskommissionen.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