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737</w:t>
      </w:r>
    </w:p>
    <w:p>
      <w:r>
        <w:rPr>
          <w:b/>
        </w:rPr>
        <w:t xml:space="preserve">Datum: </w:t>
      </w:r>
      <w:r>
        <w:t>1934-03-19</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Johan Bergman (Liberala samlingspartiet, man)</w:t>
      </w:r>
    </w:p>
    <w:p>
      <w:r>
        <w:rPr>
          <w:b w:val="0"/>
        </w:rPr>
        <w:t xml:space="preserve">Med anledning av vad herr Åström yttrade, får jag säga, att jag betraktar all tobaksförbrukning som lyx. Han talade om att lyxcigarretterna inte bli så hårt drabbade av en skattehöjning som de andra. Jag förmodar, att tobaksmonopolet icke saknar möjlighet att genom sin prissättning justera den lilla specialfrågan. Men hela tobaksförbrukningen är ju en lyx. Jag vill icke kalla den en »last», av samma samhällsfördärvliga karaktär som dryckenskapen: det händer ju icke, att en person på grund av rökning av några cigarretter går och slår ihjäl </w:t>
      </w:r>
      <w:r>
        <w:rPr>
          <w:b/>
        </w:rPr>
        <w:t>hustru²</w:t>
      </w:r>
      <w:r>
        <w:rPr>
          <w:b w:val="0"/>
        </w:rPr>
        <w:t xml:space="preserve"> och barn, som folk ibland gör efter några supar. Så farlig är ju naturligtvis inte tobaken. Men man kan i varje fall säga, att tobaksbruket i stort sett skadar folkhälsan, och att det medför en onödig utgift. Genom att högt beskatta dessa varor uppfostrar man folket till sparsamhet, och det måste väl vara nyttigt.</w:t>
        <w:br/>
        <w:br/>
        <w:t>Det var också en annan sak, som herr Åström var inne på och som jag skall be att få säga ett ord om. Han syntes vilja göra gällande, att denna beskattning överhuvud taget icke är demokratisk. Det är ju känt, att socialdemokratien är emot indirekt beskattning överhuvud taget. Men man förbiser därvid en viktig sak: man skiljer icke på olika slag av indirekt beskattning. Vad som nu ifrågasättes är en socialt oantastlig beskattning; enär det gäller en skatt, som ingen behöver underkasta sig, om man icke vill. Tobak är ingen vare sig nödvändig eller nyttig vara. Och då kan man ju icke säga, att skatten kränker några demokratiska principer.</w:t>
        <w:br/>
        <w:br/>
        <w:t>Visar någon i behandlingen av djur, hemdjur såväl som vilda djur, grymhet genom misshandel, överansträngning, vanvård eller annorledes straffes för djurplågeri med böter eller fängelse. Är djurplågeriet av svår beskaffenhet eller äro omständigheterna eljest försvårande, må till straffarbete i högst sex månader dömas.</w:t>
        <w:br/>
        <w:br/>
        <w:t>Visar någon i behandling av djur uppenbar grymhet, genom misshandel, överansträngning, vanvård, sådant förfarande vid slakt, att onödigt lidande tillfogas djuret, eller annorledes, straffes för djurplågeri med böter. Är djurplågeriet av svår beskaffenhet eller äro omständigheterna eljest synnerligen försvårande; må till fängelse i högst sex månader dömas.</w:t>
      </w:r>
    </w:p>
    <w:p>
      <w:pPr>
        <w:pStyle w:val="Heading2"/>
      </w:pPr>
      <w:r>
        <w:t>2. Carl Lindhagen (–, man)</w:t>
      </w:r>
    </w:p>
    <w:p>
      <w:r>
        <w:rPr>
          <w:b w:val="0"/>
        </w:rPr>
        <w:t>Herr talman! Jag har väckt en omfattande motion i djurskyddsfrågan, som både upptar gamla stridspunkter i den saken och även tillagt något nytt för att därmed någorlunda uttömma ämnet.</w:t>
        <w:br/>
        <w:br/>
        <w:t>Varje detalj i denna fråga, som togs upp i riksdagen, var förr i tiden föremål för livlig debatt i båda kamrarna, och givetvis i all synnerhet i andra kammaren. Nu ha vi kommit in i en ny period av världsutvecklingen. Den gamla humanismen är för tillfället undanträngd genom de ekonomiska påfrestningar, som ha lett till världskrig, depression, arbetslöshet. Krig mellan stater, ekonomiskt och eventuellt militärt, och på samma sätt även mellan klasserna inom varje stat, stå för dörren. Det har därför synts mig, att nu borde väckas bland annat denna motion såsom en påminnelse om humanismens återkomst i världen. Väl förstår jag, att det är hopplöst, vilket också visas av de tomma bänkarna i kammaren, under det att bänkarna i den gamla tiden, som jag också upplevat, voro väl besatta, när djurskyddsfrågan kom upp, ty denna fråga intresserade oss då oberoende av partiställningar. Jag har alltså inte väntat mig någon vidare framfärd utan är tvärtom undersamt överraskad av att utskottet i en huvudpunkt har tillstyrkt en hemställan. Men jag är nästan glad över att utskottet på övriga punkter stannat i negativismen, utan att det kunnat komma med något sakskäl, ty detta visar ju, att påminnelsen varit särdeles påkallad.</w:t>
        <w:br/>
        <w:br/>
        <w:t>Jag övergår då, herr talman, till den föredragna punkten eller en revision av bestämmelserna i 18 kap. 16 $ strafflagen, som är grundläggande i fråga om djurskyddet och som därför bör tillägna sig det huvudsakliga intresset.</w:t>
        <w:br/>
        <w:br/>
        <w:t>I utskottets utlåtande och motionen refereras vad som nu är gällande lag. Det står på första sidan i utlåtandet, och jag behöver sålunda icke uppläsa detsamma. Uti dessa bestämmelser har föreslagits några skärpningar eller formuleringsförbättringar, om man så vill kalla dem. Det stadgas att, om någon i behandling av djur visar uppenbar grymhet — och så står det en uppräkning: genom misshandel, överansträngning, vanvård eller annorledes — skall han straffas för djurplågeri. Jag har yrkat, att ordet »uppenbar» måtte utgå ur lagtexten. Det är ju en sådan där kautschukbestämmelse, som gör, att man är tveksam, om ett visst fall kan åtalas, och att det blir en godtycklighet i bedömandet, så snart en åklagare vågat sig på att anställa åtal. I 14 kap. strafflagen, som bland annat handlar om misshandel, straffas misshandel mot människor, utan att misshandeln särskilt behöver betecknas såsom</w:t>
        <w:br/>
        <w:br/>
        <w:t>Nu är emellertid att märka, att i den norska och danska strafflagstiftningen med gammalt datum förekommer inte ordet »uppenbar». Där går det sålunda an att straffa misshandel rätt och slätt av djur, och sedan gäller det för domstolarna att avgöra, om en verklig misshandel ägt rum. Sveriges första insats i lagstiftningen på djurskyddsområdet härleder sig från 1857. Då infördes formuleringen »uppenbar grymhet». Sedan har genom en följd av lagändringar denna lagstiftning skärpts allt mer. Det enda, som ännu i dag står kvar, är 1857 års försiktiga formulering »uppenbar grymhet». Nu se vi således, att ännu 1934 — snart ett århundrade efteråt — möta vi 1 riksdagen ett lagutskott, enhälligt om att här har icke någon framryckning varit av behovet påkallad, utan här skall man stå kvar vid den gamla kautschukparagrafen såsom ett skydd för människornas intressen gentemot djurens misshandling. Det ligger ju också i specifikationen av »uppenbar grymhet», ett slags motsägelse, ty i specifikationen står det bara misshandel o. s. v:, men ordet »uppenbar» skall väl hänföra sig till alla de uppräknade exemplifieringarna, och då gäller ju ordet »uppenbar» även för misshandel.</w:t>
        <w:br/>
        <w:br/>
        <w:t>Så sent som 1917, då det materialistiska genombrottet hade tagit stark fart genom världskriget även inom vår församling och de gamla humanistiska synpunkterna en tid fingo läggas på hyllan för att vänta på en ny vår, skrev riksdagen i alla fall och begärde borttagande av den begränsning, som ligger i ordet »uppenbar». Detta ledde som sagt inte till någonting annat än att Kungl. Maj:t föreslog, såsom riksdagen också hade begärt, ett visst ökande av specifikationerna 1 lagrummet.</w:t>
        <w:br/>
        <w:br/>
        <w:t>Men nu har ordet »uppenbar» en alldeles särskild, mycket kuriös betydelse. Det är ju ganska egendomligt, att på samma gång som man generellt förbjuder all slags verklig misshandel emot djuren, så tillåter man — utan att det någonsin blir åtal och ännu mindre något domstolsutslag — vivisektion, jakt och fiske även under grymma former. Slakt och schäktning likaså. Djurens bostadsförhållanden när det gäller vissa slag av djur och vid utställningar, kunna i vissa fall betecknas såsom ett verkligt djurplågeri. Allt detta får äga rum, fast det ju borde åtalas enligt den allmänna lagen. Varför åtalas det då inte utan tillåtes allmänt?</w:t>
        <w:br/>
        <w:br/>
        <w:t>Jag gick till en expert — ibland måste man gå till sådana, fast jag brukar iakttaga en viss försiktighet med experter. Det var professor Stjernberg, professor i straffrätt vid Stockholms högskola. Då svarade han: »De nämnda överseendena ligga just i ordet uppenbar.» I »uppenbar grymhet» inbegripes åtminstone enligt en gängse mening inte vivisektion, djurplågeri vid jakt och fiske, råbarkad slakt och grymma bostadsförhållanden.</w:t>
        <w:br/>
        <w:br/>
        <w:t>Ja, det är nog en förklaring, förmodar jag, ty det är den enda, som kan givas. Men nog bör det väl egentligen vara som i andra länder, där man tagit sig för att göra särskilda lagar för undantagen, samt förse lagarna med kontrollbestämmelser, så att man vet, varför man i detta fall gör ett eller många undantag.</w:t>
        <w:br/>
        <w:br/>
        <w:t>Voltaire myntade en gång ett berömt ord: »Adjektivet är substantivets fiende.» Här är adjektivet »uppenbar» substantivets fiende i allra högsta grad, som nyss påpekats.</w:t>
        <w:br/>
        <w:br/>
        <w:t>Jag kommer sedan till frihetsstraffen. Där har utvecklingen från 1857</w:t>
        <w:br/>
        <w:br/>
        <w:t>Jag har sålunda föreslagit, att om djurplågeriet är »av svår beskaffenhet eller äro omständigheterna eljest försvårande, må till straffarbete i högst sex månader dömas». Fängelsestraff, som nu är medgivet under synnerligen försvårande omständigheter, har jag flyttat ned att stå vid sidan av böterna såsom tillhörande den vanliga straffskalan för detta brott.</w:t>
        <w:br/>
        <w:br/>
        <w:t>Där har i motionen emellertid ifrågasatts en tredje ändring. Det står i lagen »synnerligen försvårande», men det är väl nog, att omständigheterna äro försvårande. »Synnerligen» är återigen en sådan där kautschukbestämmelse. Det har som jag nämnde sagts, att adjektivet är substantivets fiende. Tänk vilken kolossal fiende ett adverbadjektiv blir, då det hopfogas med ett substantivadjektiv för att slutligen med dessa övergångar komma till det verkliga substantivet!</w:t>
        <w:br/>
        <w:br/>
        <w:t>Så är det en annan sak, och den är högviktig. Det är frågan om de vilda djuren, som nu ha fått ett skydd på papperet, men knappast annat än i få undantagsfall. Förr började man helt naturligt att stadga skydd för egna och andras kreatur eller för de s. k. hemdjuren. Det var också ett intresse för människorna. Sedan stod detta kvar ända från 1857 till 1907, d. v. s. i ett halvt sekel. Då först var rättsutvecklingen färdig att taga steget fram till djur, varmed då även skulle avses vilda djur. Så långsamt går det.</w:t>
        <w:br/>
        <w:br/>
        <w:t xml:space="preserve">På den där liberala tiden i mitten av förra seklet och en tid framåt till världskriget var det en grundsats som uttalats av Erik Gustaf Geijer och även andra — förresten också i andra länder — att rättsmedvetandets utveckling går i bredd med erkännandet av </w:t>
      </w:r>
      <w:r>
        <w:rPr>
          <w:b/>
        </w:rPr>
        <w:t>kvinnans¹</w:t>
      </w:r>
      <w:r>
        <w:rPr>
          <w:b w:val="0"/>
        </w:rPr>
        <w:t xml:space="preserve"> rättigheter. Samtidigt började man emellertid också säga, att rättsmedvetandets utveckling går i bredd med erkännandet av djurens rättigheter. Erkännandet av </w:t>
      </w:r>
      <w:r>
        <w:rPr>
          <w:b/>
        </w:rPr>
        <w:t>kvinnans¹</w:t>
      </w:r>
      <w:r>
        <w:rPr>
          <w:b w:val="0"/>
        </w:rPr>
        <w:t xml:space="preserve"> rättigheter gick parallellt härmed, men naturligtvis kraftigare, ty </w:t>
      </w:r>
      <w:r>
        <w:rPr>
          <w:b/>
        </w:rPr>
        <w:t>hon²</w:t>
      </w:r>
      <w:r>
        <w:rPr>
          <w:b w:val="0"/>
        </w:rPr>
        <w:t xml:space="preserve"> var en människa; men djuren fingo följa med något under skydd av det rättsmedvetande, som då lägrade sig över </w:t>
      </w:r>
      <w:r>
        <w:rPr>
          <w:b/>
        </w:rPr>
        <w:t>kvinnorna¹</w:t>
      </w:r>
      <w:r>
        <w:rPr>
          <w:b w:val="0"/>
        </w:rPr>
        <w:t>. Om vi nu se på själva lagens nuvarande lydelse, talas det visserligen om »djur», men när vi sedan komma till exemplifieringen, är den uppenbarligen lånad från den gamla föreställningen, att det bara är hemdjuren, som skola skyddas. Det står kvar där som ett hångrin emot ordet »djur» strax förut: »genom misshandel, överansträngning, vanvård eller annorledes». Det är alltså den gamla specifikationen, som vi ännu inte kommit ifrån. Den behöver således också på något sätt skrivas om, så att exemplen utvidgas till att tydligt omfatta djur överhuvud taget. Såsom ett första fjät — ty man kan inte begära mera än fjät i sådana frågor som dessa — har jag därför tillagt: »Visar någon i behandlingen av djur, hemdjur såväl som vilda djur», och så får den andra uppräkningen stå kvar, ty de vilda djuren falla då tydligare och mer uppfordrande under orden »misshandel» och »annorledes». Därigenom riktas uppmärksamheten hos åklagare och även hos den stora allmänheten mera på dem. Vilda djur plågas genom utrotning och genom Jakt och fiske, och dessa medel anses som sagt lagliga, ehuru de strida emot 18 kap. 16 $ strafflagen. Det är klart, att människan i sin kamp för livsuppehället inte är färdig att lägga bort jakten och ännu mindre fisket. Men lagen bör då skriva ut, att detta näringsfång är ett undantag från lagen men</w:t>
        <w:br/>
        <w:br/>
        <w:t>Stjernberg sade — och det har jag hört förut — att det förekommer, att djurplågeri mot vilda djur även under deras fångande kan åtalas och anses innefatta uppenbar grymhet. Därvid anföres det gamla exemplet, att det var någon, som jagade änder genom att sätta ut lockbete på metkrokar. När angivelsen gjordes, tyckte åklagaren, att han väl fick lov att försöka, ty om det verkligen fanns något skydd för de vilda djuren, skulle det väl vara här. Och kan man tänka sig: det blev också böter i domstolarna. Men andra exempel får man knappast höra på en dylik tillämpning av lagen. Det har väl förekommit, förmodar jag, ett och annat stänkfall här och där, fast det inte finns någon statistik på dem.</w:t>
        <w:br/>
        <w:br/>
        <w:t xml:space="preserve">Nu är det ju givet, att om dessa föreslagna ändringar kan man ha olika meningar. När ändringar tidigare föreslagits, har varje gång en detalj gjorts till föremål för särskild motion. Jag kommer ihåg, att ordföranden i första lagutskottet, då det i år var fråga om bärplockning, med ett visst fog sade, att man ju inte kunde komma tillbaka med den frågan, därför att det egentligen inte kunde göras någonting åt den, och att vi bliva alldeles utledsna på de där ständiga nya utredningarna. Ja, det bli vi visst. Men, det kan jag säga ordföranden i första lagutskottet, att så länge människan inte går till grunden av tingen, får </w:t>
      </w:r>
      <w:r>
        <w:rPr>
          <w:b/>
        </w:rPr>
        <w:t>hon²</w:t>
      </w:r>
      <w:r>
        <w:rPr>
          <w:b w:val="0"/>
        </w:rPr>
        <w:t xml:space="preserve"> aldrig någon fred, och så länge första lagutskottet inte går till grunden av denna sak, vartill möjlighet nu erbjudits utskottet, får första lagutskottet aldrig någon fred för densamma. Och inte Kungl. Maj:t heller, ty då får han anställa särskilda utredningar ideligen om sakens detaljer, när det faller riksdagen in att begära ett fjät, ty Kungl. Maj:t synes aldrig haft tid att självmant intressera sig för djurskydd, men så mycket mer för drevjakter. Därför har jag väckt hela frågan för första lagutskottet på en gång, så att utskottet och även Kungl. Maj:t sedan kunde få vara i fred. Detta är sålunda mycket välvilligt av motionären även av parlamentariska skäl.</w:t>
        <w:br/>
        <w:br/>
        <w:t>Nu, herr talman, är det således inte lönt att yrka bifall till min formulering av paragrafen, som innefattar så många olika saker, att det enligt statistiken för varje detalj behövs ett halvt århundrade, för att man skall kunna få någon framfärd i densamma, såsom jag också här har visat. Därför får jag slå ihop allt, som framförts i motionen på denna punkt och föreslå, vilket ju faller inom motionens yrkande, en ny formulering, en försiktig riksdagsskrivelse, där alla kunna få rum med sin tvekan. Jag hemställer alltså, att riksdagen må med anledning av denna motion hos Kungl. Maj:t begära övervägande och förslag till en revision av bestämmelserna i 18 kap. 16 $ strafflagen om djurplågeri i syfte att vinna ett klargörande i formuleringen och eventuellt ett erforderligt stärkande i övrigt av djurskyddet.</w:t>
        <w:br/>
        <w:br/>
        <w:t>Försiktigare, herr talman, kan man inte formulera det. Jag hoppas, att det blir någon, som instämmer i detta yrkande i den blivande voteringen.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737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