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1990</w:t>
      </w:r>
    </w:p>
    <w:p>
      <w:r>
        <w:rPr>
          <w:b/>
        </w:rPr>
        <w:t xml:space="preserve">Datum: </w:t>
      </w:r>
      <w:r>
        <w:t>1934-03-21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Hillgård (–, man)</w:t>
      </w:r>
    </w:p>
    <w:p>
      <w:r>
        <w:rPr>
          <w:b w:val="0"/>
        </w:rPr>
        <w:t>Herr talman! Ehuru frågan om en utvidgning av nödvärnsrätten fallit, för denna gång i allt fall, genom det beslut första kammaren i lördags fattade, ber jag dock att som motionär få yttra några ord i denna ingalunda oviktiga lagstiftningsfråga.</w:t>
        <w:br/>
        <w:br/>
        <w:t>Första lagutskottet — jag vill gärna uttala ett vördsamt tack för utskottets omsorgsfulla och fullständiga utredning av frågan — har funnit sig böra avstyrka motionen. Beträffande den s. k. absoluta nödvärnsrätten framför motionen följande synpunkter. Enligt 5 kap. 7 par. strafflagen förefinnes sådan nödvärnsrätt bl. a. vid överfall med våld eller hot, som innebär trängande fara. Den överfallne äger då använda det våld, som erfordras för farans avvärjande. Men gör han större våld än nöden kräver, så straffas han för nödvärnsexcess, såvida ej omständigheterna voro sådana, att han svårligen kunde sig besinna. Bestämmelsen innebär, att denna nödvärnsrätt förefinnes endast, om faran verkligen är trängande. Situationen lämpar sig emellertid icke — mena vi — för ett mera ingående övervägande av detta stundom ganska subtila spörsmål. Dels för att icke hänvisa den angripne till ett alltför lamt och tveksamt försvar, dels och framför allt för att slippa en oviss och i många fall omöjlig prövning av de subjektiva omständigheterna ha vi velat utsträcka den i 5:7 stadgade nödvärnsrätten till varje överfall med våld eller hot, såvida det ej är uppenbart, att allvarlig fara icke är för handen. Och då vidare en begränsning av motangreppet till vad som är strängt erforderligt för avvärjande av angreppet kan vara ganska svår att iakttaga — samt iakttagandet härav skulle alltför mycket klavbinda den överfallne, och detta i desto högre grad ju mera laglydig och samvetsgrann och hygglig människa han är —, så ha vi ansett skäligt att lämna en viss marginal av övertag å nödvärnsutövarens sida. Vi ha gett uttryck åt den meningen, att han bör utan att riskera straff för nödvärnsexcess äga fullfölja motangreppet så långt, som erfordras för att han skall vara på den säkra sidan. Vi mena, att den överfallnes intresse av att få handla så — och även samhällets intresse av att han äger göra det — väger tyngre än angriparens intresse av att komma undan så lindrigt som möjligt. Här gäller det bl. a. att väga den angripnes intresse av att värja sig mot angriparens intresse av att icke utsättas för våld eller för stort våld. Ju hänsynsfullare mot angriparen, som dock är stadd i</w:t>
        <w:br/>
        <w:br/>
        <w:t>Häremot genmäler nu utskottet följande. Det är visserligen sant, att nödvärnsutövaren enligt gällande lag handlat objektivt rättsstridigt, om han handlat så som motionärerna föreslagit, att han skulle få göra. Men han bör så gott som alltid bli straffri, därför att han icke handlat subjektivt rättsstridigt. Med andra ord om han trott, att faran var överhängande, ehuru den vid en efteråt företagen prövning befanns icke vara det, eller om han väl gjort större våld än nöden krävde men icke större än han trodde vara erforderligt, så skulle han, menar utskottet, bli frikänd. Utskottet uttalar på sid. 17, att »nödvärnsutövaren torde böra på subjektiva grunder frias från straff i så gott som alla fall där det icke är uppenbart att han använt avsevärt större våld än nöden krävde». Och på sid. 18 säger utskottet, att för att nödvärnsutövaren, som överskridit nödvärnsrätten, »skall dömas för uppsåtlig förbrytelse fordras, att han vid nödvärnshandlingen insett att han gjort större våld än nöden krävde. Vid sådant förhållande innebär den gällande rätten icke någon fara att den, som icke förmått överblicka en given situation, fälles till ansvar för uppsåtligt brott. Det är alltså icke av hänsyn därtill erforderligt att, såsom motionärerna föreslagit, utsträcka den absoluta nödvärnsrätten så att den vid överfall med våld eller hot skall gälla så snart det ej är uppenbart att allvarlig fara icke är för handen».</w:t>
        <w:br/>
        <w:br/>
        <w:t>Jag får säga, att jag är glad över att utskottet satt på papperet denna sin uppfattning, och jag ODDAR, att den med tiden kan få betydelse för rättstillämpningen. Den kan möjligen komma att utöva en dragning på praxis i rätt riktning. Och om motionen icke skulle få någon annan effekt än att ha föranlett dessa uttalanden av utskottet — och ett par till, nämligen beträffande häktning vid nödvärnsexcess och om ärekränkning såsom måhända icke helt utesluten från nödvärnsområdet — så skulle jag dock anse motionen såsom icke alldeles resultatlös. Men jag får samtidigt säga, att för närvarande går det icke alls så till som man skulle tro av utskottets uttalande. Har större våld använts än nöden krävde, så kommer nödvärnsutövaren i många fall icke långt med en än så riktig och med sanna förhållandet överensstämmande förklaring, att han trodde en lindrigare försvarsåtgärd icke vara tillräcklig. Detsamma gäller, om han trott trängande fara vara för handen, men så vid en efteråt företagen prövning befinnes icke hava varit fallet. Han har tvärtom rätt stora utsikter att bli straffad för nödvärnsexcess, d. v. s. bli straffad för att han icke var vuxen en situation, 1 vilken han icke själv försatt sig. Vad nödvärnsutövaren trodde, hans subjektiva uppfattning av läget, kan ju i regel icke bli föremål för direkt bevisning. Huruvida hans uppgift kommer att tagas för god, beror på vilka slutsatser domstolen anser sig kunna draga av den objektiva situationen. Och denna utvisar — det är ju utgångspunkten för resonemanget — att faran faktiskt icke var trängande eller att det av nödvärnsutövaren förövade våldet var större än erforderligt. Ja, så är man tillbaka vid den objektiva situationen såsom normerande, och då den objektiva rättsstridigheten är klar, föranledas domstolarna alltför ofta att därav sluta till den subjektiva. Endast om nödvärnsutövaren kan peka på alldeles speciella fakta, som objektivt motivera hans felaktiga uppfattning, kan han med någorlunda säkerhet påräkna att bli frikänd. Vidgar man däremot den objektivt fixerade nödvärnsgränsen, slipper man just på detta gränsområde ifrån den vanskliga prövningen av de subjektiva förutsättningarna hos nödvärnsutövaren. Den 1 motionen föreslagna utvidgningen av den objektiva gränsen går ju enligt utskottets eget uttalande icke utöver det område, inom vilket</w:t>
        <w:br/>
        <w:br/>
        <w:t>Ang. ändring i gällande bestämmelser om rätt till nödvärn m. m. (Forts.) utskottet anser straffrihet av subjektiva skäl regelmässigt böra inträda men — och det är det viktiga — den ingalunda i praktiken inträder. I själva verket innebär motionen i denna del icke någon utvidgning av det straffria området. Men den föreslagna ändringen skulle skapa trygghet för strafffrihet inom detta område, en trygghet som nu icke finnes, genom att knyta straffriheten till det objektiva rekvisitet, i stället för att göra den beroende av en oviss och osäker prövning av vad nödvärnsutövaren kan antagas hava trott.</w:t>
        <w:br/>
        <w:br/>
        <w:t>Jag vill nämna, att högsta domstolen i ett fall — det är från 1895 — då den fällt en person till ansvar för nödvärnsexcess, åberopat, att det av honom begångna våldet »uppenbarligen varit betydligt större, än nöden krävt» — alltså samma ord, som återkomma i motionen. I övrigt är det med stor tillfredsställelse man vid ett studium av de nödvärnsfall, som blivit föremål för högsta domstolens prövning, konstaterar, att högsta domstolen i vida större utsträckning än underdomstolarna behjärtat det svåra läge, vari den befinner sig, som nödgas värja sig mot våld. Men därvid har domstolen gång på gång måst falla tillbaka på klausulen om att nödvärnsutövaren svårligen kunnat sig besinna, då den med gällande bestämmelser icke kunnat förklara nödvärnsåtgärden objektivt berättigad.</w:t>
        <w:br/>
        <w:br/>
        <w:t>Jag skall, då i dessa delar ett enhälligt utskott står på en annan linje, icke vidare uppehålla mig vid nu berörda punkter av nödvärnsrätten.</w:t>
        <w:br/>
        <w:br/>
        <w:t>Motionen ställer vidare fram till övervägande en utvidgning med avseende på arten av de angrepp, gentemot vilka nödvärn bör vara tillåtet. För närvarande finnes nödvärnsrätt endast vid våld å person, vid den form av hemfrisbrott, som består i olovligt inträngande i eller vägran att avlägsna sig från någons hemvist, samt vid angrepp å egendom. Professor Thyrén och strafflagskommissionen föreslogo rätt till nödvärn gentemot varje aktuellt, straffbart angrepp på enskild rätt. En sådan utvidgning skulle berättiga till nödvärn bl. a. vid andra former av hemfridsbrott, nämligen sådana enligt strafflagen 11: 12, som bestå däri, att man slår in fönster i annans hus eller kastar i annans gård, hus eller fartyg in sten eller annat, och vidare däri, att man kastar sten eller annat på annans hus, bultar eller gör annat våld därå, 0. S. v. Ja, nog tycker jag det är befogat, att, om någon slår in fönster hos en eller bombarderar väggarna med stenar, man då skall ha rätt att ge sig ut och t. ex. med en käpp driva nidingen på flykten. Rätt till nödvärn skulle även förefinnas vid ärekränkning. I motionen heter det härom (jag tillåter mig läsa upp denna korta passus, då den icke återgivits i utskottets utlåtande):</w:t>
        <w:br/>
        <w:br/>
        <w:t xml:space="preserve">» Enligt gällande svensk rätt anses nödvärn icke medgivet vid annan form av ärekränkning än den som tar sig uttryck i kroppslig beröring (s. k. realinjurier). Den som av annan ”överfalles” med en ström av okvädinsord eller med de grövsta beskyllningar äger icke genom nödvärn täppa till munnen på angriparen. MNärskilt vid svårare former av ärekränkning måste detta anses otillfredsställande. Tar man i betraktande, att absolut nödvärnsrätt enligt Str. 1. 5: 7 st. 2 föreligger bl. a., då någon sätter sig till motvärn emot den, som vill ”sitt värja eller å bar gärning återtaga” (ex. cykeltjuven, gripen på bar gärning, sätter sig till motvärn mot ägaren, som vill återtaga cykeln), så synes det oegentligt, att intet som helst nödvärnsskydd medgives vid en än så grov ärekränkning. Det tilltalar icke det allmänna rättsmedvetandet, att den, som t. ex. på gatan ihållande förföljes med grova tillmälen och som för att äntligen bli av med angriparen tilldelar denne ett slag, skall dömas för uppsåtlig misshandel (annat ex.: en </w:t>
      </w:r>
      <w:r>
        <w:rPr>
          <w:b/>
        </w:rPr>
        <w:t>kvinna¹</w:t>
      </w:r>
      <w:r>
        <w:rPr>
          <w:b w:val="0"/>
        </w:rPr>
        <w:t xml:space="preserve"> förföljes av en slusk med grovt oanständigt tal; om en man, i </w:t>
      </w:r>
      <w:r>
        <w:rPr>
          <w:b/>
        </w:rPr>
        <w:t>hennes²</w:t>
      </w:r>
      <w:r>
        <w:rPr>
          <w:b w:val="0"/>
        </w:rPr>
        <w:t xml:space="preserve"> sällskap eller icke, inskrider mot förföljaren, gör han endast vad envar anser vara tillbörligt för att icke säga hans plikt;</w:t>
        <w:br/>
        <w:br/>
        <w:t>Utskottet säger härom, att det även enligt utskottets uppfattning är otvivelaktigt, att vissa fall kunna anföras, då ett ingripande med våld mot ärekränkning i och för sig kan förefalla synnerligen berättigat. Emellertid finner utskottet det å andra sidan uppenbart, att en allmän rätt till nödvärn vid ärekränkning lätteligen skulle kunna föranleda till missbruk. Utskottet har icke kunnat undgå att taga intryck av de skäl, som vid högsta domstolens granskning av 1890 års förslag av en ledamot i domstolen anfördes mot rätt till nödvärn vid ärekränkning. Denne ledamot yttrade, att användande av våld mot den, som angriper med en ärekränkning, syntes oftare vara ägnat att framkalla än att förhindra ett fortsättande av ärekränkningen.</w:t>
        <w:br/>
        <w:br/>
        <w:t>Jag tror icke, att detta resonemang är riktigt. Ty om man antar, att angriparen, därför att han möter motstånd, skulle intensifiera sitt angrepp, så borde väl risken härför vara vida större, om angriparen själv börjat med våld och sålunda dokumenterat sig såsom tillhörande den brutala typen, van vid att både få och ge slag. Det finns ingen rimlig anledning antaga, att en handgriplig aktion emot den, vars mod och anfallslusta huvudsakligen sitter 1 munnen, skulle vara mindre ägnad att föranleda en reträtt än samma aktion mot den, som själv skridit till våldsamheter. Det bör naturligtvis vara tvärtom. Om utskottet tagit intryck av nämnde ledamots argumentering, så är det å andra sidan värt att notera, att ingen av de övriga fyra ledamöter av högsta domstolen, som deltogo i granskningen av det 1890 framlagda förslaget, tagit något sådant intryck.</w:t>
        <w:br/>
        <w:br/>
        <w:t>Med synnerligt intresse tar man del av utskottets uttalande, att utskottet med sitt avstyrkande av motionen icke velat taga ställning till spörsmålet, huruvida den härskande uppfattningen av gällande rätt i förevarande avseende är obetingat riktig. Det torde måhända icke vara helt uteslutet, säger utskottet, att rättspraxis i mera påtagliga fall av påträngande förföljelse med smädelser kan tänkas inom vissa gränser medge rätt till nödvärn. Det är överraskande att finna, att samtidigt som utskottet hyser sådana betänkligheter mot ett legaliserande av nödvärn vid ärekränkning, att utskottet på den grund avstyrker motionen i denna del, så gör utskottet — såvitt jag förslår emot lagens ord — ett låt vara mycket försiktigt men dock positivt uttalande för att sådan nödvärnsrätt redan får anses förefinnas. Det brukar ofta på tal om nödvärn framhållas såsom en angelägenhet av vikt, att medborgaren utav lagstiftaren får klart besked om, hur långt han har rätt att gå vid ett orättmätigt angrepp. Vore det då icke bättre att i enlighet med denna sunda grundsats gå med på motionens — och i denna del även reservationens — förslag om skrivelse till Kungl. Maj:t med anhållan om utredning angående denna punkt? Jag vill påpeka, att såvitt av utskottsutlåtandet framgår, förefinnes rätt till nödvärn vid ärekränkning både i dansk och norsk rätt. Däremot finnes den icke i finsk rätt men väl i det finska strafflagsförslaget, som framlades år 1921.</w:t>
        <w:br/>
        <w:br/>
        <w:t>Vad så till sist angår det höga straffet vid objektivt överskott enligt strafflagen 14: 4 och 5, misshandel med dödlig utgång utan att gärningsmannen rimligen kunnat räkna med en sådan verkan, så göra sig motionärerna i den delen endast till tolk för en uppfattning, varom, såvitt jag har mig bekant, alla straffrättslärare och det åtminstone alldeles övervägande antalet domare, vilka haft att tillämpa dessa paragrafer, varit ense. Det är icke rimligt utan i stället direkt upprörande, att en i och för sig mycket ringa misshandel, nära gränsen för straffrihet, skall leda till flerårigt frihetsstraff på grund av en effekt, som inträder av ren våda. Utskottet finner väl, att dessa drakoniska</w:t>
        <w:br/>
        <w:br/>
        <w:t>Nu invänder man naturligtvis från utskottshåll, att det finns möjlighet för Kungl. Maj:t att benåda. Då jag kan förutse, att denna invändning kommer, vill jag, medan jag ändå har ordet, säga ett par ord om den saken för att kanske icke behöva taga tiden i anspråk flera gånger. Jag vill framhålla, att för det första är det en ganska svår situation för den dömde, innan nåderesolutionen kommer; hur det blir vet man ingenting om. Vidare kan en benådning icke befria den dömde från den prick han fått därigenom att han har emot sig en laga kraftvunnen dom på så och så långvarigt frihetsstraff. Och slutligen — och det är det viktigaste —: benådningen skall vara en yttersta resurs, bereda en möjlighet att i vissa undantagsfall, som man icke kan intaga 1 lagen i form av allmänna straffbud, göra en korrigering. Men här blir det icke ett undantagsfall, utan här blir det faktiskt regel. Jag vågar påstå, att om benådningsrätten icke funnits eller icke använts så flitigt, så skulle det varit otänkbart, att man kunnat behålla dessa straffsatser. Men det är icke nyttigt, varken för benådningsinstitutet eller för domstolarnas auktoritet, att benådning skall behöva tillgripas, icke såsom en undantagsmöjlighet utan såsom en reguljär utväg. Kungl. Maj:t i statsrådet såsom benådningsmyndighet är faktiskt en normal högsta instans i mål av detta speciella slag. Man bör även betänka, att allmänheten ingalunda alltid har insikt om, att domstolen icke kunnat döma på annat sätt, utan ofta uppfattar en benådning såsom en korrigering icke av en bristfällig lag utan av en bristfällig dom, såsom en korrigering av domstolen.</w:t>
        <w:br/>
        <w:br/>
        <w:t>Ehuru reservationen tyvärr lämnar den huvudsakliga, av mig först berörda frågan utanför, ber jag dock, herr talman, att få yrka bifall till den av herr Linnér m. fl. avgivna, vid utskottets utlåtande fogade reservationen.</w:t>
      </w:r>
    </w:p>
    <w:p>
      <w:pPr>
        <w:pStyle w:val="Heading2"/>
      </w:pPr>
      <w:r>
        <w:t>2. Carl Petrus Olsson (Socialdemokraterna, man)</w:t>
      </w:r>
    </w:p>
    <w:p>
      <w:r>
        <w:rPr>
          <w:b w:val="0"/>
        </w:rPr>
        <w:t>Herr talman, mina damer och herrar! Om jag, innan jag går in på att säga något om denna motion och den behandling, utskottet givit densamma, skulle ägna några ord åt sista delen i den föregående talarens anförande, så gör jag det därför, att jag fick en känsla av, att ett</w:t>
        <w:br/>
        <w:br/>
        <w:t>I den motion, som här avgivits, behandlar man två ganska skilda ting. Det ena är frågan om en väsentlig utvidgning av nödvärnsrätten, och det andra är frågan om sänkning av straffminimum för misshandel med dödlig utgång.</w:t>
        <w:br/>
        <w:br/>
        <w:t>Nödvärnsrätten behandlas i strafflagen, kap. 5, $$ 7—11, och den är grupperad i två delar, dels en vidsträcktare nödvärnsrätt och dels en mera inskränkt sådan. Den vidsträcktare nödvärnsrätten behandlas i $ 7, där det heter:</w:t>
        <w:br/>
        <w:br/>
        <w:t>Rätt till nödvärn äge ock rum, då någon begår inbrott eller eljest tränger sig olovligen in i annans rum, hus, gård eller fartyg nattetid, eller sätter sig till motvärn, evad det är natt eller dag, emot den, som sitt värja eller å bar gärning återtaga vill.»</w:t>
        <w:br/>
        <w:br/>
        <w:t>Denna vidsträcktare nödvärnsrätt avser allvarligare angrepp, och den medgiver rätt för den angripne att använda allt det våld, som fordras för det rättsstridiga angreppets avvärjande. Den inskränktare nödvärnsrätt, som behandlas i $ 10, följer proportionalitetsprincipen, d. v. s. föreskriver, att vål- - icke får stå i missförhållande till den skada, som utav angreppet kunnat</w:t>
        <w:br/>
        <w:br/>
        <w:t>I $9 stadgas vissa möjligheter för domstolen att medge lindringar vid straffmätningen. Det heter där: »Finnes någon i fall, som i 7 eller 8 8 sagt är, hava gjort större våld, än nöden krävde; pröve domstolen, efter omständigheterna, om och i vad mån straffet må nedsättas under vad i allmänhet å gärningen följa bort. Voro omständigheterna sådana, att han svårligen kunnat sig besinna; då må han ej till straff dömas.»</w:t>
        <w:br/>
        <w:br/>
        <w:t>Utskottet har, såsom redan av den föregående ärade talaren vidgicks, på väsentliga punkter en annan uppfattning om behovet av en lagändring än motionärerna. En mycket erfaren domare yttrade vid frågans behandling i första kammaren under lördagens plenum, att våra bestämmelser om nödvärn i stort sett äro mycket goda. Missnöje finns — alldeles riktigt — men detta torde i många fall bero på obekantskap med bland annat de för nödvärnsutövaren mycket gynnsamma bevisreglerna. De bevisregler, som domstolarna på detta område använda, ha under en följd av år undan för undan avsevärt förbättrats för nödvärnsutövaren. Under det att nödvärnsutövaren tidigare måste styrka sitt påstående — hans uppgifter måste tidigare, för att tillmätas vitsord, åtminstone av omständigheterna i saken styrkas — så har man undan för undan gått nödvärnsutövarens rätt till mötes i detta fall på så sätt, att det nnmera endast kräves, att omständigheterna i målet icke motbevisa den uppgift, som nödvärnsutövaren själv avger. Detta är ju en väsentlig mildring i fråga om möjligheterna för nödvärnsutövaren att kunna styrka sitt påstående. Det behövs endast, att omständigheterna icke motbevisa, icke bestrida hans uppgifter. På så sätt får han ju redan från början ur bevissynpunkt en mycket stark ställning.</w:t>
        <w:br/>
        <w:br/>
        <w:t>Motionärerna göra särskilt på ett par punkter erinringar emot nuvarande</w:t>
        <w:br/>
        <w:br/>
        <w:t>Utskottet anför gentemot den första anmärkningen, att den skada, som tillfogas angriparen, icke ur objektivt rättslig synpunkt kan få överskrida det nödvändigas gräns, men säger vidare, att endast handlingar i försvarssyfte kunna motiveras ur nödvärnsrättens grund. Men, tillägger utskottet: »nödvärnsutövaren torde böra på subjektiva grunder frias från straff i så gott som alla fall, där det icke är uppenbart, att han använt avsevärt större våld än nöden kräver.»</w:t>
        <w:br/>
        <w:br/>
        <w:t>Gentemot den andra anmärkningen hänvisar utskottet till $ 9, vilken reglerar de fall där nödvärnsutövaren missuppfattat situationen, d. v. s. överskattat faran och på grund därav använt större våld än nöden krävt. I denna $ 9 är således möjlighet given domstolarna att om dylika omständigheter i något fall förelegat, ta hänsyn till dessa. Utskottet säger vidare, att endast i sådana fall, där missuppfattningen av situationen varit så markant, att den med hänsyn till omständigheterna måste anses oursäktlig, är det risk för att nödvärnsutövaren blir fälld för att ha begått större våld än nöden krävt.</w:t>
        <w:br/>
        <w:br/>
        <w:t>Vidare säger utskottet, finns det ännu en straffrihetsgrund, nämligen den som säger, att nödvärnsutövaren har varit i en sådan situation, att han »svårligen kunnat sig besinna». I dylikt fall har han möjlighet att bli helt frikänd, eller, om det föreligger någon grad av förseelse från hans sida, att bli dömd efter en straffskala, som går ända ner till det lägsta bötesminimum.</w:t>
        <w:br/>
        <w:br/>
        <w:t>Som synes ha även reservanterna avvisat de ändringsförslag, som motionärerna ha framställt. Men såväl motionärer som reservanter begära en utsträckning utav nödvärnsrätten till ett nytt område till ärekränkning. Den föregående talaren har redan erinrat om, vad en ledamot av högsta domstolen sagt om en dylik utvidgning, nämligen att det förelåge grundade skäl för att antaga, att en sådan utvidgning skulle skapa svårigheter i stället för att bli av motsatt verkan. Uti den debatt, som pågick om denna sak i första kammaren i lördags, erinrade två erfarna domare — en stadsdomare och en lantdomare — att en utvidgning av nödvärnsbestämmelserna till att omfatta även ärekränkning, så vitt de förstode, måste leda till ökade slagsmål på gatorna. Jag ifrågasätter verkligen, om herrarna här äro beredda att gå in för en skrivelse i stil med den, som reservanterna här förorda. Jag skall villigt medgiva, att det kan finnas fall, när en ärekränkning är av den art, att man tycker, att det borde medgivas nödvärnssituation för den som ärekränkes. Det är alldeles säkert, att både ett och annat sådant fall kan inträffa, men om man väger fördelarna av en på detta sätt utvidgad nödvärnsrätt emot de nackdelar som därmed med säkerhet skulle följa, synes det mig, att nackdelarna äro så övervägande, att man icke ett ögonblick kan fundera på en sådan utvidgning. I vart fall är detta min personliga mening. Om en person överöser en annan med okvädinsord, är då det rätta och riktiga medlet att använda våld? Är det icke i stället sannolikt att om en på så sätt utvidgad nödvärnsrätt medgåves detta skulle föranleda och direkt uppmuntra till våld, och öka gruff och gatutumult? Vi skola komma ihåg, att om en person har blivit ärekränkt, så har han icke rätt att — även om en sådan här föreslagen rätt skulle införas — sedan denna ärekränkning en gång skett, gå till anfall mot den som ärekränkt honom. Detta vore icke en nödvärnsrätt utan en hämnd för den ärekränkning, som redan skett. För att det skall bli en nödvärnssituation måste han »klippa till», medan ordströmmen pågår eller medan »förföljandet» i och</w:t>
        <w:br/>
        <w:br/>
        <w:t>Jag vill också påpeka en annan sak. Med den utbredning som exempelvis boxningskunnigheten har tagit i våra dagar, så är jag mycket rädd för all utvidgning av denna nödvärnsrätt, vilken, så vitt jag förstår, kan leda till mycket allvarliga konsekvenser. Jag hörde en talare från reservanternas sida i första kammaren säga, att det inträffat fall, då en person bara slagit till en annan med handen med påföljd att denne avlidit o. s. v. "Talaren ville därmed motivera en straffsänkning. Det torde vara obestridligt att en stöt av en boxningstränad person kan vara omedelbart dödande, även om motståndaren är rutinerad och icke »går i gatan». Hur oerhört mycket farligare är det då icke, om en boxningskunnig person sätter in en stöt, bakom vilken han har hela sin kroppstyngd mot en person, som är fullständigt otränad i boxning och som kanske dessutom såsom de flesta hithörande fall är i större eller mindre grad berusad? Det är mycket sannolikt, att ett sådant slag får ytterst ödesdigra följder. Om vi se på en hel rad av de dödsfall, som inträffat vid dylika sammanstötningar ute på gatorna under senare tid, skola vi finna, att en betydande del av dessa hänföra sig till en situation sådan som Jag nyss skildrat.</w:t>
        <w:br/>
        <w:br/>
        <w:t>Med avseende å den sänkning av straffminimum, som utskottsreservanterna rekommendera för att på så sätt begränsa häktningsskyldigheten, så vill jag gentemot detta erinra om, att en ovillkorlig häktningsskyldighet icke föreligger, när det är fråga om nödvärnssituation. Jag har redan förut påvisat, att två års straffarbete icke är straffminimum när det gäller nödvärnssituation. Man kan, som nämnts, komma till lägsta bötesminimum, och man kan komma ända till frikännande. Alltså föreligger här icke någon ovillkorlig häktningsskyldighet. Nu medger emellertid utskottet, att häktning dock i många fall torde förekomma, och utskottet säger med anledning härav, att detta torde bero på den svaghet, vari åklagarmakten i allmänhet ännu befinner sig. Men utskottet påvisar samtidigt, att processlagberedningen just håller på med frågan om en förstärkning av åklagarmakten, och att man alltså på den punkten mycket snart kan vänta sig ändrade och bättre förhållanden.</w:t>
        <w:br/>
        <w:br/>
        <w:t>I fråga om de övriga verkningar, som en sänkning av straffminimum här skulle föra med sig, så har jag enahanda uppfattning som jag nyss angav på tal om den sannolika följden utav, att nödvärnsrätt medgåves för ärekränkning. Jag fruktar, att en på så sätt utvidgad nödvärnsrätt skulle leda till ökat antal slagsmål på gatorna, och att man därigenom skulle åstadkomma ökning i fråga om de svårigheter, som man trott sig skola komma ifrån.</w:t>
        <w:br/>
        <w:br/>
        <w:t xml:space="preserve">Det är icke utan, att man för närvarande håller på att odla en slags gentlemannakult, en kult som jag för min del är angelägen om att ta avstånd ifrån. Denna gentlemannakult tycks stadga, att om en person är ute och går exempelvis med en </w:t>
      </w:r>
      <w:r>
        <w:rPr>
          <w:b/>
        </w:rPr>
        <w:t>dam²</w:t>
      </w:r>
      <w:r>
        <w:rPr>
          <w:b w:val="0"/>
        </w:rPr>
        <w:t>, och damen blir tilltalad av, som det heter, en slusk, är det kavaljerens ovillkorliga skyldighet att med knytnävarna klara upp denna situation. Jag tror, att denna kult har ett visst samband med tidens lyten i övrigt.</w:t>
        <w:br/>
        <w:br/>
        <w:t>Men tänk litet närmare på denna sak, mina herrar! Är detta icke ett steg mot en nävrättens renässans, ett steg mot barbariet? Och hur skall exempelvis mannen, som icke har någon som helst fysisk möjlighet att kunna utöva den där mandomen som kräves, bete sig i en dylik situation? Även han har, helt naturligt, en het åtrå att axla gentlemannens kappa. Skall han låta sig pryglas — eller skall han falla för domen: icke gentleman?</w:t>
        <w:br/>
        <w:br/>
        <w:t>Jag får lov att säga, att det där vädjandet till nävrätten, som ligger så nära till hands i vår tid, är ett formfulländat dekadenstecken och en gentlemannakult, som den omnämnda, är inte många skatter värd.</w:t>
        <w:br/>
        <w:br/>
        <w:t>Jag tillhör visst icke dem, som sätta mjäkighet i högsätet, men utvidgat område för knytnävsargumentationen är, såvitt jag förstår, ett fält där allvarliga komplikationer kunna skapas. Jag vill allvarligt varna kammarens ledamöter för att beträda den väg, som i första hand motionärerna och i någon mån även reservanterna här ha rekommenderat.</w:t>
        <w:br/>
        <w:br/>
        <w:t>Utskottet har dessutom visat på de svårigheter som ur straffteknisk synpunkt skulle inträda, om man skulle gå den väg, som motionärerna ha förutsatt, och anfört ett stort antal paragrafer i strafflagen, vilka beröras av ändringsförslagen i motionen. Det är icke som den föregående talaren nämnde enbart på ett par ställen såsom i fråga om våldtäckt och mordbrand, s. k. »objektivt överskott» finnes angivet. Jag tror, att det är tillfinnandes åtminstone i ett dussintal paragrafer i strafflagen. Även ur dessa synpunkter skulle alltså ganska stora svårigheter skapas genom bifall till motionen.</w:t>
        <w:br/>
        <w:br/>
        <w:t>Som vi veta ligger frågan om en reform av vår strafflag under förberedande. Det är möjligt att denna strafflagsreform kommer att ta tid, men jag skulle tro, att det är klokt, att man på ett så oerhört känsligt område som detta får arbeta i lugn och ro, och att man får systematiskt taga upp arbetet med de olika kapitlen i strafflagen, för att bibehålla kontinuiteten i arbetet. Det skulle sålunda säkerligen icke vara till gagn, om man i enlighet med vad reservanterna här föreslå skulle skriva till regeringen och begära en ändring i vissa detaljer. Därtill kommer att man begär ändring på punkter, där jag åtminstone tror, att ändringar icke skulle medföra fördelar, utan mycket stora nackdelar.</w:t>
        <w:br/>
        <w:br/>
        <w:t>Herr talman! Då det sålunda ur nödvärnssynpunkt icke är motiverat och då det dessutom är förenat med mycket stora nackdelar att ge sig in på en reformering av detaljer i strafflagen i stil med vad motionärer och reservanter här förutsatt, ber jag att med det sagda få yrka avslag på såväl motionen som reservationen och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1990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