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2001</w:t>
      </w:r>
    </w:p>
    <w:p>
      <w:r>
        <w:rPr>
          <w:b/>
        </w:rPr>
        <w:t xml:space="preserve">Datum: </w:t>
      </w:r>
      <w:r>
        <w:t>1934-05-02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 xml:space="preserve">Herr talman! Motionären begär en skyndsam utredning, dels om »huruvida och på vad sätt barn, åt vilka understöd utgår enligt 1 $ fattigvårdslagen, bättre än nu skola kunna skyddas från förflyttning, enbart av ekonomiska skäl, från goda och lämpliga fosterhem till </w:t>
      </w:r>
      <w:r>
        <w:rPr>
          <w:b/>
        </w:rPr>
        <w:t>moderns²</w:t>
      </w:r>
      <w:r>
        <w:rPr>
          <w:b w:val="0"/>
        </w:rPr>
        <w:t xml:space="preserve"> och styvfaderns hem och huruvida och i vilken utsträckning bidrag av statsmedel må kunna utgå till kommunernas kostnader för ifrågavarande understöd». Utskottet hemställer, att riksdagen i anledning av motionen skall anhålla hos Kungl. Maj:t om utredning, »huruvida och på vad sätt barn, åt vilka understöd utgår enligt 1 8 fattigvårdslagen, kunna genom föreskrifter, meddelade i administrativ ordning, bättre än vad för närvarande är fallet skyddas från förflyttning enbart av ekonomiska skäl från goda och lämpliga fosterhem till</w:t>
        <w:br/>
        <w:br/>
        <w:t xml:space="preserve">Ang. viss ändring i fattigvårdslagen. (Forts.) </w:t>
      </w:r>
      <w:r>
        <w:rPr>
          <w:b/>
        </w:rPr>
        <w:t>moderns²</w:t>
      </w:r>
      <w:r>
        <w:rPr>
          <w:b w:val="0"/>
        </w:rPr>
        <w:t xml:space="preserve"> och styvfaderns hem». Jag tycker, att detta låter mycket egendomligt, och jag undrar, vad utskottet egentligen menar. Det ser ut, som om utskottet ansåge, att man skulle genom administrativa åtgärder försätta gällande lag ur funktion. Jag kan icke tänka mig, att utskottet syftar dithän, men att döma av utlåtandet ser det faktiskt ut, som om man hade den meningen. För min del tycker jag, att det icke finns någonting att utreda i detta fall. I dylika ärenden är det statens fattigvårdsinspektör, som har högsta tillsynen, och han har enbart att genom cirkulärskrivelser till fattigvårdsstyrelserna i riket meddela, att i varje sådan sak, som kan komma i fråga, skall fattigvårdskonsulenten yttra sig. Detta är vad som behövs — en utredning är fullständigt överflödig. Men att skriva ett utlåtande på det sätt som skett och därigenom få kammarens ledamöter att besluta, att man skall sätta gällande lag ur funktion är naturligtvis en ren orimlighet.</w:t>
        <w:br/>
        <w:br/>
        <w:t>Jag kan i anledning härav, herr talman, icke göra annat än yrka avslag på utskottets hemställan.</w:t>
      </w:r>
    </w:p>
    <w:p>
      <w:pPr>
        <w:pStyle w:val="Heading2"/>
      </w:pPr>
      <w:r>
        <w:t>2. Ernst Hage (Socialdemokraterna, man)</w:t>
      </w:r>
    </w:p>
    <w:p>
      <w:r>
        <w:rPr>
          <w:b w:val="0"/>
        </w:rPr>
        <w:t xml:space="preserve">Herr talman! Utskottets hemställan har bifallits av första kammaren, och jag tror icke att någon där haft något att invända mot detta förslag. Utskottet är för övrigt enhälligt i sin hemställan. Avsikten med det hela är naturligtvis den, att det skall verkställas en utredning, 1 vilken utsträckning det inträffar sådana förhållanden, som påpekats av motionären. Man har funnit det ur humanitär synpunkt oriktigt i vissa fall, att barn skickats från goda och lämpliga fosterhem till </w:t>
      </w:r>
      <w:r>
        <w:rPr>
          <w:b/>
        </w:rPr>
        <w:t>moderns²</w:t>
      </w:r>
      <w:r>
        <w:rPr>
          <w:b w:val="0"/>
        </w:rPr>
        <w:t xml:space="preserve"> och styvfaderns hem. Nu har motionären föreslagit en ändring i lagstiftningen, varigenom man så att säga definitivt skulle sätta stopp för de missförhållanden, som råda. Utskottet har emellertid framhållit, att en utredning pågår om hela denna fråga, och under sådana förhållanden har utskottet icke tillstyrkt en ändring i lagstiftningen men menat, att den lag, som finns, kan tillämpas på olika sätt. Sådan lagen är utformad är den skriven med en så bred marginal, att man kanske kan tänka sig en tillämpning, så att motionärens önskemål tillgodoses.</w:t>
        <w:br/>
        <w:br/>
        <w:t>Utskottet har utgått ifrån att det är synnerligen önskligt att det sker en utredning i dessa saker. Man har då tänkt sig möjligheten av att — sedan man fått klart för sig, huruvida i vissa fall sådana saker inträffat, som motionären visat på — det bör ges vissa instruktioner till personer, som syssla med hithörande ärenden, så att det kan komma till stånd en sådan humanitär tillämpning av lagen, som åsyftas i motionen. Detta innebär naturligtvis icke, att man skall upphäva lagen, utan endast att man vill ge rum åt en viss lagtolkning, en; tolkning i den riktning motionären avsett.</w:t>
        <w:br/>
        <w:br/>
        <w:t>Dessa äro de allmänna utgångspunkter utskottet haft vid sitt ställningstagande, och då jag anser, att det här gäller en säkerligen mycket humanitär reform, skall jag be att få yrka bifall till utskottets utredningsyrkande.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