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2029</w:t>
      </w:r>
    </w:p>
    <w:p>
      <w:r>
        <w:rPr>
          <w:b/>
        </w:rPr>
        <w:t xml:space="preserve">Datum: </w:t>
      </w:r>
      <w:r>
        <w:t>1935-04-03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 xml:space="preserve">Herr talman! Under denna punkt är ifrågavarande </w:t>
      </w:r>
      <w:r>
        <w:rPr>
          <w:b/>
        </w:rPr>
        <w:t>änka²</w:t>
      </w:r>
      <w:r>
        <w:rPr>
          <w:b w:val="0"/>
        </w:rPr>
        <w:t xml:space="preserve"> Langetz icke pensionsberättigad; givetvis äro icke heller </w:t>
      </w:r>
      <w:r>
        <w:rPr>
          <w:b/>
        </w:rPr>
        <w:t>hennes²</w:t>
      </w:r>
      <w:r>
        <w:rPr>
          <w:b w:val="0"/>
        </w:rPr>
        <w:t xml:space="preserve"> barn berättigade till understöd. </w:t>
      </w:r>
      <w:r>
        <w:rPr>
          <w:b/>
        </w:rPr>
        <w:t>Henne²</w:t>
      </w:r>
      <w:r>
        <w:rPr>
          <w:b w:val="0"/>
        </w:rPr>
        <w:t xml:space="preserve"> själv har utskottet icke vågat ge pension, men det har tillstyrkt understöd åt barnen. Frågan har varit underställd Kungl. Maj:ts prövning, men Kungl. Maj:t har avslagit densamma.</w:t>
        <w:br/>
        <w:br/>
        <w:t xml:space="preserve">Anledningen till att jag icke gått på utskottets linje har varit den, att </w:t>
      </w:r>
      <w:r>
        <w:rPr>
          <w:b/>
        </w:rPr>
        <w:t>änkan²</w:t>
      </w:r>
      <w:r>
        <w:rPr>
          <w:b w:val="0"/>
        </w:rPr>
        <w:t xml:space="preserve"> är ung, endast 33 år gammal, samt fullt arbetsför. Jag kan för min del icke se något skäl för att man skulle bevilja ifrågavarande understöd. Jag ber därför, herr talman, att få yrka bifall till reservationen.</w:t>
      </w:r>
    </w:p>
    <w:p>
      <w:pPr>
        <w:pStyle w:val="Heading2"/>
      </w:pPr>
      <w:r>
        <w:t>2. Edvin Leffler (–, man)</w:t>
      </w:r>
    </w:p>
    <w:p>
      <w:r>
        <w:rPr>
          <w:b w:val="0"/>
        </w:rPr>
        <w:t xml:space="preserve">Herr talman! Beträffande denna punkt är det riktigt som herr Paulsen säger, att utskottet icke ansett sig kunna tillstyrka pension åt </w:t>
      </w:r>
      <w:r>
        <w:rPr>
          <w:b/>
        </w:rPr>
        <w:t>änkan²</w:t>
      </w:r>
      <w:r>
        <w:rPr>
          <w:b w:val="0"/>
        </w:rPr>
        <w:t xml:space="preserve"> på grund av att </w:t>
      </w:r>
      <w:r>
        <w:rPr>
          <w:b/>
        </w:rPr>
        <w:t>hon²</w:t>
      </w:r>
      <w:r>
        <w:rPr>
          <w:b w:val="0"/>
        </w:rPr>
        <w:t xml:space="preserve"> är så ung som </w:t>
      </w:r>
      <w:r>
        <w:rPr>
          <w:b/>
        </w:rPr>
        <w:t>hon²</w:t>
      </w:r>
      <w:r>
        <w:rPr>
          <w:b w:val="0"/>
        </w:rPr>
        <w:t xml:space="preserve"> är, men utskottet har tagit en viss hänsyn till den omständigheten, som omnämnes i motionen, att om mannen varit 1 år och 7 månader yngre, </w:t>
      </w:r>
      <w:r>
        <w:rPr>
          <w:b/>
        </w:rPr>
        <w:t>änkan²</w:t>
      </w:r>
      <w:r>
        <w:rPr>
          <w:b w:val="0"/>
        </w:rPr>
        <w:t xml:space="preserve"> varit berättigad att få pension enligt den förordning, som utkom 1927. Under sådana förhållanden har utskottet ansett, att man åtminstone i någon mån skulle söka tillmötesgå motionären och hjälpa denna familj i den form, som utskottets förslag fått, nämligen att det skall utgå ett årligt understöd till barnen intill 18 års ålder med en summa av 120 kronor om året.</w:t>
      </w:r>
    </w:p>
    <w:p>
      <w:pPr>
        <w:pStyle w:val="Heading2"/>
      </w:pPr>
      <w:r>
        <w:t>3. Anders Paulsen (Socialdemokraterna, man)</w:t>
      </w:r>
    </w:p>
    <w:p>
      <w:r>
        <w:rPr>
          <w:b w:val="0"/>
        </w:rPr>
        <w:t xml:space="preserve">Herr talman! Här föreligger ett fall, där en ogift </w:t>
      </w:r>
      <w:r>
        <w:rPr>
          <w:b/>
        </w:rPr>
        <w:t>moder²</w:t>
      </w:r>
      <w:r>
        <w:rPr>
          <w:b w:val="0"/>
        </w:rPr>
        <w:t xml:space="preserve"> har betalat pensionsavgifter för familjepension. Modern avlider, och då uppstår frågan, huruvida </w:t>
      </w:r>
      <w:r>
        <w:rPr>
          <w:b/>
        </w:rPr>
        <w:t>dottern²</w:t>
      </w:r>
      <w:r>
        <w:rPr>
          <w:b w:val="0"/>
        </w:rPr>
        <w:t xml:space="preserve"> skall ha pension. Nu föreslås icke den pension för </w:t>
      </w:r>
      <w:r>
        <w:rPr>
          <w:b/>
        </w:rPr>
        <w:t>henne²</w:t>
      </w:r>
      <w:r>
        <w:rPr>
          <w:b w:val="0"/>
        </w:rPr>
        <w:t xml:space="preserve"> som </w:t>
      </w:r>
      <w:r>
        <w:rPr>
          <w:b/>
        </w:rPr>
        <w:t>hon²</w:t>
      </w:r>
      <w:r>
        <w:rPr>
          <w:b w:val="0"/>
        </w:rPr>
        <w:t xml:space="preserve"> skulle erhållit i anledning av de inbetalda pensionsavgifterna, om </w:t>
      </w:r>
      <w:r>
        <w:rPr>
          <w:b/>
        </w:rPr>
        <w:t>hon²</w:t>
      </w:r>
      <w:r>
        <w:rPr>
          <w:b w:val="0"/>
        </w:rPr>
        <w:t xml:space="preserve"> varit född inom äktenskapet, nämligen 756 kronor, utan blott 600 kronor.</w:t>
        <w:br/>
        <w:br/>
        <w:t>Jag finner för min del en sådan åtgärd icke vara riktig. Jag anser nämligen, att barn böra åtnjuta samma rättigheter, vare sig de födas utom eller inom äktenskapet. I detta fall kan jag icke göra något yrkande, men jag ber att få påpeka för kammaren, att ytterligare sådana fall kunna uppstå, och jag vill hoppas, att man för framtiden skall rätta till detta, så att barn inom och barn utom äktenskapet skola komma i åtnjutande av samma rättigheter i pensionshänseende.</w:t>
      </w:r>
    </w:p>
    <w:p>
      <w:pPr>
        <w:pStyle w:val="Heading2"/>
      </w:pPr>
      <w:r>
        <w:t>4. Arthur Elmroth (Socialdemokraterna, man)</w:t>
      </w:r>
    </w:p>
    <w:p>
      <w:r>
        <w:rPr>
          <w:b w:val="0"/>
        </w:rPr>
        <w:t>Herr talman! Jag tillhör de fem reservanter, varav tre från denna kammare, som icke kunnat dela utskottsmajoritetens mening på denna punkt. Då motionären på grund av sjukdom icke är i till-</w:t>
        <w:br/>
        <w:br/>
        <w:t>ställda personer m. fl. (Forts.) fälle att vara närvarande, vill jag i hans ställe framföra de synpunkter, som framkommit i motionen.</w:t>
        <w:br/>
        <w:br/>
        <w:t>Utskottet har motiverat sitt avstyrkande med, att riksdagen under senare år intagit ståndpunkten att icke medgiva pension i sådana fall, då det gäller efterlevande efter befattningshavare, vilka ingått äktenskap efter avgång ur statens järnvägars tjänst.</w:t>
        <w:br/>
        <w:br/>
        <w:t xml:space="preserve">I förevarande fall föreligga mycket säregna omständigheter. Den person det här är fråga om har ingått äktenskap med sin numera avlidne man efter det han avgått ur statens järnvägars tjänst, och följaktligen skulle </w:t>
      </w:r>
      <w:r>
        <w:rPr>
          <w:b/>
        </w:rPr>
        <w:t>hon²</w:t>
      </w:r>
      <w:r>
        <w:rPr>
          <w:b w:val="0"/>
        </w:rPr>
        <w:t xml:space="preserve"> icke vara pensionsberättigad. Emellertid har </w:t>
      </w:r>
      <w:r>
        <w:rPr>
          <w:b/>
        </w:rPr>
        <w:t>hon²</w:t>
      </w:r>
      <w:r>
        <w:rPr>
          <w:b w:val="0"/>
        </w:rPr>
        <w:t xml:space="preserve"> dessförinnan i tre år vårdat mannens sjuka </w:t>
      </w:r>
      <w:r>
        <w:rPr>
          <w:b/>
        </w:rPr>
        <w:t>hustru²</w:t>
      </w:r>
      <w:r>
        <w:rPr>
          <w:b w:val="0"/>
        </w:rPr>
        <w:t xml:space="preserve"> i hans tidigare äktenskap. Med hänsyn härtill ha vi reservanter funnit omständigheterna så behjärtansvärda, att vi icke velat motsätta oss den av motionären framställda begäran om pension åt </w:t>
      </w:r>
      <w:r>
        <w:rPr>
          <w:b/>
        </w:rPr>
        <w:t>änkan²</w:t>
      </w:r>
      <w:r>
        <w:rPr>
          <w:b w:val="0"/>
        </w:rPr>
        <w:t>.</w:t>
        <w:br/>
        <w:br/>
        <w:t>Gentemot utskottsmajoritetens tal om att konsekvenserna av ett bifall till motionen skulle bli mindre önskvärda, måste jag säga, att det icke rimligtvis kan bli så värst många konsekvenser. Men om det skulle inträffa, att i några få enstaka fall riksdagen skulle få ge pension i liknande situationer, anse vi, att dessa konsekvenser icke äro allvarligare, än att man med gott samvete kan taga dem.</w:t>
        <w:br/>
        <w:br/>
        <w:t>Med hänsyn härtill, herr talman, hemställer jag om bifall till den vid utlåtandet fogade reservationen.</w:t>
      </w:r>
    </w:p>
    <w:p>
      <w:pPr>
        <w:pStyle w:val="Heading2"/>
      </w:pPr>
      <w:r>
        <w:t>5. Edvin Leffler (–, man)</w:t>
      </w:r>
    </w:p>
    <w:p>
      <w:r>
        <w:rPr>
          <w:b w:val="0"/>
        </w:rPr>
        <w:t>Herr talman! Vid behandlingen av denna fråga i utskottet har man sökt vara så rättvis som möjligt.</w:t>
        <w:br/>
        <w:br/>
        <w:t xml:space="preserve">Såsom herr Elmroth påpekade, ingick mannen i fråga äktenskap med den person det här gäller sedan han väl blivit pensionerad och alltså lämnat sin tjänst vid statens järnvägar. </w:t>
      </w:r>
      <w:r>
        <w:rPr>
          <w:b/>
        </w:rPr>
        <w:t>Hon²</w:t>
      </w:r>
      <w:r>
        <w:rPr>
          <w:b w:val="0"/>
        </w:rPr>
        <w:t xml:space="preserve"> hade tidigare varit anställd hos hans familj dels under den tid hans första </w:t>
      </w:r>
      <w:r>
        <w:rPr>
          <w:b/>
        </w:rPr>
        <w:t>hustru²</w:t>
      </w:r>
      <w:r>
        <w:rPr>
          <w:b w:val="0"/>
        </w:rPr>
        <w:t xml:space="preserve"> levde och dels sedan han blivit </w:t>
      </w:r>
      <w:r>
        <w:rPr>
          <w:b/>
        </w:rPr>
        <w:t>änkeman²</w:t>
      </w:r>
      <w:r>
        <w:rPr>
          <w:b w:val="0"/>
        </w:rPr>
        <w:t xml:space="preserve"> — tillsammans något över tre år. Jag utgår ifrån att </w:t>
      </w:r>
      <w:r>
        <w:rPr>
          <w:b/>
        </w:rPr>
        <w:t>hon²</w:t>
      </w:r>
      <w:r>
        <w:rPr>
          <w:b w:val="0"/>
        </w:rPr>
        <w:t xml:space="preserve"> under denna tid även hade viss avlöning för sitt arbete. Hade det gällt en </w:t>
      </w:r>
      <w:r>
        <w:rPr>
          <w:b/>
        </w:rPr>
        <w:t>kvinna¹</w:t>
      </w:r>
      <w:r>
        <w:rPr>
          <w:b w:val="0"/>
        </w:rPr>
        <w:t xml:space="preserve">, som under en lång följd av år varit anställd i hemmet och uppoffrat sig för mannen och hans första </w:t>
      </w:r>
      <w:r>
        <w:rPr>
          <w:b/>
        </w:rPr>
        <w:t>hustru²</w:t>
      </w:r>
      <w:r>
        <w:rPr>
          <w:b w:val="0"/>
        </w:rPr>
        <w:t>, hade kanske situationen varit något annorlunda.</w:t>
        <w:br/>
        <w:br/>
        <w:t>Man får väl emellertid tänka på de konsekvenser, som ett bifall till motionen skulle medföra. Utskottet har icke vågat taga konsekvenserna. Herr Elmroth lämnar nu viss garanti för att några konsekvenser icke skola inträda, av ett beslut i enlighet med reservationen. Jag vet ju icke, vilka kvalifikationer herr Elmroth har att ge ett sådant löfte. Utskottet har i varje fall icke kunnat taga ett dylikt beslut på sitt ansvar.</w:t>
        <w:br/>
        <w:br/>
        <w:t>Herr talman, jag yrkar bifall till utskottets hemställan.</w:t>
      </w:r>
    </w:p>
    <w:p>
      <w:pPr>
        <w:pStyle w:val="Heading2"/>
      </w:pPr>
      <w:r>
        <w:t>6. Arthur Elmroth (Socialdemokraterna, man)</w:t>
      </w:r>
    </w:p>
    <w:p>
      <w:r>
        <w:rPr>
          <w:b w:val="0"/>
        </w:rPr>
        <w:t>Herr talman! Gentemot utskottets ärade vice ordförande vill jag säga, att jag icke lämnat några sådana garantier, utan att jag har framhållit, att konsekvenserna rimligtvis icke kunna bli så stora. Fallet är så säreget, att även utskottets vice ordförande borde kunna ge mig rätt i att det knappast kan inträffa ett fall på tusen som är likartat.</w:t>
        <w:br/>
        <w:br/>
        <w:t xml:space="preserve">Ingenting tyder på att denna person skött den avlidna av andra än rent mänskliga bevekelsegrunder. </w:t>
      </w:r>
      <w:r>
        <w:rPr>
          <w:b/>
        </w:rPr>
        <w:t>Hon²</w:t>
      </w:r>
      <w:r>
        <w:rPr>
          <w:b w:val="0"/>
        </w:rPr>
        <w:t xml:space="preserve"> har av allt att döma endast utfört en barmhärtighetsgärning, och </w:t>
      </w:r>
      <w:r>
        <w:rPr>
          <w:b/>
        </w:rPr>
        <w:t>hon²</w:t>
      </w:r>
      <w:r>
        <w:rPr>
          <w:b w:val="0"/>
        </w:rPr>
        <w:t xml:space="preserve"> har blivit fäst vid familjen av olika orsaker. På grund av de formella skäl, som bankoutskottets majoritet — med all rätt måhända — tar så stor hänsyn till, mister </w:t>
      </w:r>
      <w:r>
        <w:rPr>
          <w:b/>
        </w:rPr>
        <w:t>hon²</w:t>
      </w:r>
      <w:r>
        <w:rPr>
          <w:b w:val="0"/>
        </w:rPr>
        <w:t xml:space="preserve"> en pension, som </w:t>
      </w:r>
      <w:r>
        <w:rPr>
          <w:b/>
        </w:rPr>
        <w:t>hon²</w:t>
      </w:r>
      <w:r>
        <w:rPr>
          <w:b w:val="0"/>
        </w:rPr>
        <w:t xml:space="preserve"> annars reellt sett måste anses berättigad till.</w:t>
        <w:br/>
        <w:br/>
        <w:t>Herr talman, jag har ingen anledning återtaga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