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2057</w:t>
      </w:r>
    </w:p>
    <w:p>
      <w:r>
        <w:rPr>
          <w:b/>
        </w:rPr>
        <w:t xml:space="preserve">Datum: </w:t>
      </w:r>
      <w:r>
        <w:t>1936-03-17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Kilbom (Sveriges kommunistiska parti, man)</w:t>
      </w:r>
    </w:p>
    <w:p>
      <w:r>
        <w:rPr>
          <w:b w:val="0"/>
        </w:rPr>
        <w:t>Herr talman! Det var för ett par repliker jag har begärt ordet. Jag kan icke tolka herr Lindmarks anförande på en punkt som annat än ett utslag av dåligt minne — det skulle väl nämligen vara en förolämpning att påstå, att han fällde åsyftade yttrandet på grund av bristande vetskap. Han sade nämligen, att det har visat sig, att indrivningsoch införselinstitutet fungerar så dåligt, att något måste göras. Jag undrar, varifrån herr Lindmark har de erfarenheterna. Det måste väl då närmast vara från den bygd, där herr Lindmark har sin verksamhet. Men jag är tämligen övertygad om, att också med hänsyn till denna, är detta påstående oriktigt, därför att om det är något som erfarenheten visar, så är det, att vårt indrivningsoch införselinstitut fungerar i många avseenden icke bara bättre än förut utan rent av hårt och brutalt. Jag skall ta några exempel från Stockholm, som herr Lindmark i egenskap av riksdagsman i någon mån borde ha reda på. På senare år har man dragit in under en praktiskt taget perfekt skatteutkrävning bl. a. restaurangpersonal, byggnadsarbetare, chaufförer, byggmästare — grupper i enskilda ställningar, som tidigare påståtts hava icke ordentligt fullgjort sin skattebetalning. Och inom den press, till vilken herr Lindmark i all rimlighets namn bör ha tilltro, hans eget partis, ha från vederbörande skattemyndigheter i Stockholms stad praktiskt taget varje år förekommit intervjuuttalanden, som vittna om hurusom praktiskt taget ingen slipper igenom, utan att han nu får betala sin skatt. Ungefär liknande uttalanden ha f. ö. gjorts från andra större</w:t>
        <w:br/>
        <w:br/>
        <w:t>m. m. (Forts.) samhällen, där man tittat på dessa saker, och jag vågar bestämt hävda, att förhållandena äro ungefär likadana ute på landsbygden, ja, jag skulle t. o. m. tro, att där är indrivningen brutalare än i större samhällen, på grund av att kritiken är mindre vaken.</w:t>
        <w:br/>
        <w:br/>
        <w:t>När man icke har något annat att komma med än det herr Lindmark hade, tycker jag verkligen, att det finns inga skäl — herrarna själva ha bevisat det — för något hänsynstagande till högerns reservation.</w:t>
        <w:br/>
        <w:br/>
        <w:t>Men ännu ett exempel. De sista dagarna har en historia inträffat inom fattigvården i Stockholm, som visar att indrivningen också där är brutal. Det har nämligen visat sig, att fattigvårdsmyndigheterna — om jag icke misstar mig är frågan under behandling — av nu utgående fattigvårdsunderstöd draga av ett par kronor för tidigare erhållet sådant. När sådant kan uppvisas, kan man då göra gällande annat, än att herrarnas framstöt är av rent politisk karaktär, nämligen skapandet av en politisk undantagsställning för de fattiga klasserna och — jag vill säga det öppet till herr Lundqvist — till gagn för högern!</w:t>
        <w:br/>
        <w:br/>
        <w:t>Herr Lundqvist var upprörd över att jag skulle ha stämplat honom personligen som i något avseende ovärdig. Jag har icke talat om herr Lundqvist personligen. Jag talade om högern, vars talesman herr Lundqvist är i detta avseende, och högerns politiska framstöt, och jag vidhåller alldeles uttryckligt allt vad jag sade därom. Som sagt, om herr Lundqvist personligen har jag icke sagt något.</w:t>
        <w:br/>
        <w:br/>
        <w:t>Det var någon nyss här, som sade, att det är upprörande, att den som vand-</w:t>
        <w:br/>
        <w:br/>
        <w:t>rar på landsvägen — ja det var just herr Lundqvist — skulle ha rösträtt. Skulle icke herr Lundqvist kunna tänka sig följande fall: en ungkarl — också familjeförsörjare — har blivit arbetslös, har icke kunnat erhålla arbete, icke</w:t>
        <w:br/>
        <w:br/>
        <w:t xml:space="preserve">ens nödhjälpsarbete, han erhåller intet arbetslöshetsunderstöd, ty denna utmärkta demokratiska institution som heter arbetslöshetskommissionen, under denna utmärkta demokratiska regering, avstänger helt enkelt de arbetslösa ungkarlarna, han får icke fattigvård — förlåt, herr Lundqvist, är det något tvång för denne medborgare, en förpliktelse för denne ungkarl att gå kvar på den plats, där han senast var bosatt, och svälta ihjäl? Det finns, mina herrar, tusentals män i denna ställning, som under den värsta arbetslösheten ha drivits ut på landsvägarna, vandrande från plats till plats, sökande att uppehålla sig med en liten smula försäljning. Det var för icke så många månader sedan Jag träffade på en dylik — som f. ö. var gift — bosatt i södra förstäderna, som varit ute i landet med en liten kramhandel och polisen efter sig. Genom kramhandel försökte han skrapa ihop något för att kunna försörja sig och sin hemmavarande </w:t>
      </w:r>
      <w:r>
        <w:rPr>
          <w:b/>
        </w:rPr>
        <w:t>hustru²</w:t>
      </w:r>
      <w:r>
        <w:rPr>
          <w:b w:val="0"/>
        </w:rPr>
        <w:t>. Men den mannen och hans gelikar skulle enligt högerns och bondeförbundets uppfattning nu till på köpet straffas genom att man toge ifrån dem rösträtten — herr Lundqvist, det sista yttrandet av er karakteriserar verkligen den riktiga innebörden av högerns ståndpunkt och uppträdande i denna fråga!</w:t>
      </w:r>
    </w:p>
    <w:p>
      <w:pPr>
        <w:pStyle w:val="Heading2"/>
      </w:pPr>
      <w:r>
        <w:t>2. Emil Bengtsson (–, man)</w:t>
      </w:r>
    </w:p>
    <w:p>
      <w:r>
        <w:rPr>
          <w:b w:val="0"/>
        </w:rPr>
        <w:t>Herr talman! Det har vid flera tillfällen i debatten påpekats, att man skulle hålla sig kvar vid den uppgörelse, som skedde 1918, och man har sagt, att det är icke värdigt att svika vad som då uppgjordes. Det är med anledning därav jag för min del vill säga, att jag 1918 aldrig var med om en sådan uppgörelse, utan tvärtom var motståndare till den uppgörelse, som då träffades. Sedan sade herr Kilbom, att det skulle vara grymt att ta ifrån en lantarbetare med många barn hans rösträtt. Ja, men herr Kilbom vet väl, att om det är en lantarbetare, eller en annan arbetare, som har många barn,</w:t>
        <w:br/>
        <w:br/>
        <w:t>Vidare talade herr Kilbom om, att det fanns så många notoriska skatteskolkare. Ja, tråkigt nog är det så, men jag skulle vilja fråga herr Kilbom, vilket vi nog annars veta förut, om herr Kilbom vill tillåta, att det i kammarens protokoll blir fastslaget, att herr Kilbom ömmar just för dessa och vill att de skola få behålla sin rösträtt.</w:t>
        <w:br/>
        <w:br/>
        <w:t>Beträffande sedan herr Brädefors vill jag, i enlighet med vad herr Lundqvist i Rotebro sade, icke upptaga kammarens tid med att närmare bemöta vad han här stod och uttalade. Ty vi veta alla, att herr Brädefors är representant, i mycket stor utsträckning åtminstone, just för dessa skatteskolkare.</w:t>
      </w:r>
    </w:p>
    <w:p>
      <w:pPr>
        <w:pStyle w:val="Heading2"/>
      </w:pPr>
      <w:r>
        <w:t>3. John Gustafsson (–, man)</w:t>
      </w:r>
    </w:p>
    <w:p>
      <w:r>
        <w:rPr>
          <w:b w:val="0"/>
        </w:rPr>
        <w:t>Herr talman! Den fråga som här är föremål för behandling har under debatten i mycket stor utsträckning kommit att domineras av politiska synpunkter. För min del anser jag, att det är en mycket olämplig metod att diskutera denna fråga, ty det är tyvär så, att det finns skatteskolkare inom alla partier, och därför tycker jag att man skulle kunna diskutera den mera sakligt.</w:t>
        <w:br/>
        <w:br/>
        <w:t>När man nu här har motiverat den ståndpunkten, att ingen ändring skulle få ske i den författning som för närvarande gäller, därmed, att den nuvarande bestämmelsen ingick som ett led i 1918 års författningsreform, så får jag lov att säga, att det dock är ett ganska ohållbart skäl. För min del har jag ansett, att tiden vore inne för att ingå på en mera allmän översyn av hela vårt författningsproblem. Som bekant har varken konstitutionsutskottet eller riksdagen ansett, att detta borde ske, men då säger det sig självt, att när ett förslag om en författningsändring framkommer, måste var och en ta ställning till ett dylikt förslag och se till, om även en detaljändring är motiverad eller icke.</w:t>
        <w:br/>
        <w:br/>
        <w:t>För min del vill jag ha sagt, att man bör icke ta på detta problem allt för lätt. Var och en minns de bekanta orden, att det är skam, om medborgarrätten heter pengar. Dessa ord innehålla en bestående sanning, och jag vill säga, att jag skulle fortfarande anse det vara en skam, om medborgarrätten skulle vara detsamma som pengar. Men därför att man anser detta, får man i all rimlighets namn icke gå så långt, att man icke vågar ställa upp några som helst krav på dem, som skola utöva bestämmanderätten över samhällets angelägenheter, och det synes mig, som om det är detta det är fråga om här. Det har sagts, att en sådan bestämmelse skulle komma att verka orättvis. Det är möjligt, att så skulle kunna bli fallet i ett eller annat fall, men det synes mig, att man då bör välja en annan utväg för att förhindra detta, nämligen att genom skattelagarna försöka att bättre och bättre utskifta skatterna efter förmåga. Det är ju detta som skattelagarna syfta till, och det har ju redan förut anförts här av åtskilliga, att dessa, som nu har det sämst ställt, ha i verkligheten heller ingen skatt eller högst obetydlig. Statsmakterna ha verkligen försökt åstadkomma sådana skattelagar, att skatterna icke drabba dem, som verkligen icke ha råd att betala skatten. Även det skälet förefaller mig således ganska ohållbart, när det anföres som skäl mot att uppställa krav på fullgjord skatteplikt.</w:t>
        <w:br/>
        <w:br/>
        <w:t xml:space="preserve">Nu anförde konstitutionsutskottets ärade vice ordförande, att man icke borde genomföra detta krav på fullgjord skatteplikt, därför att man icke samtidigt kan komma åt försumliga barnafäder och </w:t>
      </w:r>
      <w:r>
        <w:rPr>
          <w:b/>
        </w:rPr>
        <w:t>hustruplågare²</w:t>
      </w:r>
      <w:r>
        <w:rPr>
          <w:b w:val="0"/>
        </w:rPr>
        <w:t xml:space="preserve"> o. s. v. Detta synes mig vara att utsträcka diskussionen utöver den sak det är fråga om. Herr Hallén vet mycket väl, att det finns åtskilliga, som äro undantagna från</w:t>
        <w:br/>
        <w:br/>
        <w:t>rösträtt, sådana som ha stadigvarande fattigvård o. s. v. Då tycker jag, att herr Hallén med samma motivering kunde fordra, att dessa skulle ha rösträtt, och jag får verkligen lov att säga, att skulle jag uteslutande efter mina egna begrepp om rättvisa kunna välja mellan att ge rösträtt åt en del människor, som åtnjuta fattigvård efter att ha strävat i hela sitt liv, och att ge sådan åt dem, som äro skatteskolkare, skulle jag mycket, mycket hellre vilja ge rösträtt åt åtskilliga av dem som åtnjuta fattigvård.</w:t>
        <w:br/>
        <w:br/>
        <w:t>Nu har emellertid ingen i princip velat bestrida, att detta krav på fullständig skatteplikt är berättigat, utan invändningarna ha riktats däremot huvudsakligen med hänvisning till de tekniska svårigheter, som skulle åtfölja förverkligandet därav. Jag får lov att säga, att dessa tekniska svårigheter synas mig dock icke vara större, än att det borde gå att lösa frågan. Benigare saker än vad det här är fråga om ha verkligen kunnat ordnas.</w:t>
        <w:br/>
        <w:br/>
        <w:t>Om jag sammanfattar det sagda, att man bör försöka få skattelagarna sådana, att de icke drabba dem som icke kunna betala skatt, och att man bör försöka få en utformning av dessa bestämmelser sådan, att de som rättvisligen böra ha rösträtt icke heller skola berövas densamma, vill jag med denna motivering säga, att jag kommer att rösta för bifall till den av herr Reuterskiöld m. fl.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2057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