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785</w:t>
      </w:r>
    </w:p>
    <w:p>
      <w:r>
        <w:rPr>
          <w:b/>
        </w:rPr>
        <w:t xml:space="preserve">Datum: </w:t>
      </w:r>
      <w:r>
        <w:t>1937-01-20</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talman! Jag ber att få dröja ett ögonblick, intill dess sorlet inför den annalkande lunchrasten har tystnat.</w:t>
        <w:br/>
        <w:br/>
        <w:t>Såsom ivrare för humanistisk realpolitik har jag tillåtit mig att tränga in mellan barken och trädet i den regelrätta partidiskussionen från kammarledamöternas sida. Vi äro för övrigt ganska många på den förra kanten, och vi önska säga något om samförståndets och den övriga demokratiens utsikter på de politiska vädjobanorna. Samvetena tala ju hos oss alla samma försonande språk. På detta av naturen redan skapade samförstånd mellan människorna bygga vi förvissningen, att allting reder sig till sist, åtminstone någorlunda.</w:t>
        <w:br/>
        <w:br/>
        <w:t>En humanistisk statskonst såsom slutligt mål avser en sammansmältning av liberalismens bemödanden för individernas, d. v. s. de odelbaras politiska frihet, socialismens möda för deras ekonomiska frihet och ett konservativt omhägnande samtidigt av vunna traditionella framsteg. Ur ett sådant program och knappast ur något annat kommer av sig själv den andliga friheten, även kallad pliktuppfyllelsen, såsom fulländningen i en humanistisk-demokratisk världsordning. Med andra ord: nutidens mångfald av kollektiva juri- 'diska personer vid styret kan ej, tro många, erforderligt besjälas annat än genom individens renässans. — Det är synd, herr talman, att inte individerna äro här just nu, då jag talar om dem, men att äta frukost är naturligtvis riktigt och viktigt — annars kunde vi inte uppehålla oss här i riksdagen.</w:t>
        <w:br/>
        <w:br/>
        <w:t>Denna inledning belyser bland annat årets revolution i regeringsbildandet, demokratiens aktuella problem och den grundläggande jordfrågan, Sveriges såväl som världens. Även budgeten uppfordrar på den punkten erinran i en förbigående, till synes obetydlig detalj.</w:t>
        <w:br/>
        <w:br/>
        <w:t>Ett avsevärt anslag har i försvarssyfte äskats till skytteanslag åt vissa sportföreningar i landet för övningar att med gevär kunna träffa en skott-</w:t>
        <w:br/>
        <w:br/>
        <w:t>Statsverkspropositionen. (Forts.) tavlas prick, representerande ett människohjärta. Mot denna frikostighet är ingen proportion i det fattiga anslag, som fortfarande unnas folkets fredsföreningar med syfte att skapa ett effektivt levande hjärtelag för avskaffandet av kriget. Detta sammanhänger med vår negativa utrikespolitik, som satt »försvaret främst» som sin förnämligaste uppgift, utan beslutsam benägenhet att förbinda vår upprustning med positiva insatser att gå till grunden med krigens och rustningarnas orsaker och därigenom påskynda vår egen befrielse från försvarsbudgeten.</w:t>
        <w:br/>
        <w:br/>
        <w:t>Skytteanslaget blir än farligare även därför att det börjar betraktas från skilda håll såsom medel till lämplig privatövning för ett eventuellt inbördeskrig, vilket senare väl bör, såsom utrikesministern också framhållit, särdeles bestämt avböjas utav Norden. Ett sådant perspektiv framför oss vore för lösandet av allt produktivt samförstånd i vårt land ruinerande under oöverskådliga tider.</w:t>
        <w:br/>
        <w:br/>
        <w:t>Ett par dagar efter den nya regeringens bildande sammanträffade jag utanför Rosenbads restaurang med Erik Röing, den nu bortgångne entusiasten i liberal politik. Han var på väg till Frisinnade klubben där för diskussion om den nya ministären och frågade, om jag såsom gammal medlem kom med. Tyvärr, jag var förhindrad. Då sporde Röing med ett gripande allvar i blicken: »Tycker du inte, att det är underliga tider vi leva i?» — »Jo, förvisso», blev svaret, och så skildes vi för sista gången.</w:t>
        <w:br/>
        <w:br/>
        <w:t>Ja, något ganska underligt har verkligen inträffat. Det traditionella partimaskineriet har bytt ansikte. En lystring har blixtrat fram mot partiväsendets urartning med en strimma av eventuella utsikter för en samlande realpolitik i utbyte mot en fortsatt, icke minst för demokratien alltför upplösande partipolitik. De två föregående talarnas moderation är väl också ett resultat av den plötsliga ljusningen från två ledande partiers självövervinnelse.</w:t>
        <w:br/>
        <w:br/>
        <w:t>Det bör villigt medgivas, att möjligheter till en sådan samling och moderation grundlagts av alla ledande partiers självansvar under arbetslöshetens ofärd och vid inskridandet mot de för landet äventyrliga underprisen på jordbruksprodukter. Nu har berörda samförstånd ytterligare utkristalliserats med försök till en regelrätt samlad statskonst i alla ärenden och detta till och med under en högkonjunktur.</w:t>
        <w:br/>
        <w:br/>
        <w:t>Ganska anmärkningsvärt är, att just jordbruk och industri — land och stad, skulle man kunna säga — omsider funnit varandra. Den mera omänskliga koalitionen borgerliga mot socialister är försöksvis sprängd. Så kallade borgerliga äro ju av naturen alla människor, så snart de nått ett anständigt uppehälle. Det är just dit den nya koalitionen säger sig syfta. Ingen, var han befinner sig, lär vilja bestrida, att det är på det anständiga uppehället för alla vi nu alla först måste inrikta oss. Landet bör då överse med oundgängliga kompromisser till en början inom en så ny samregering, dock utan att försumma erforderliga erinringar.</w:t>
        <w:br/>
        <w:br/>
        <w:t>Betryggande är särskilt, att jordbruket fått sin ryggrad med i regeringssättet. Det är den enda näring, som förenar allsidighet med bestånd och varaktighet. Ur dess barm, rik och givande, flyter brödet åt alla andra näringar och styrka åt rasen.</w:t>
        <w:br/>
        <w:br/>
        <w:t>En hake föreligger dock — måhända! Bondeförbundet omsluter förmodligen ännu företrädesvis endast de stora och medelstora självförsörjande jordbruken. Den väldiga mindre arrendatorsklassen, suckande under enskilda jordmonopol, härskaren av ofullständiga jordbruk i följd av jorddelningslagarnas och förrättningsmäns försummelser, den jordlösa, efter jord hungrande lantbefolkningen — alla sakna erforderliga ankarfästen och leva på de i staten mäktiges och de enskilda jordmonopolens nåd. Bondeförbundets ordfö-</w:t>
        <w:br/>
        <w:br/>
        <w:t>Statsverkspropositionen. (Forts.) rande har nu både som statsminister och jordbruksminister avgivit bragelöften att taga sig an detta hemlösa folk och komma till det med möjligheter till självförsörjning ur jorden. Detta kan dock ej ske rättvist, lägligt och pra nde om ej land bygges även med lag, såsom våra fäder ville</w:t>
        <w:br/>
        <w:br/>
        <w:t>Trontalet och statsverkspropositionen för året sakna emellertid fortfarande varje ansats till framryckning mot jordfrågans lagvägar. Norrlandslagstiftningen efterlyser denna fulländning av verket. Påminnelserna av den patriarkaliska högerns och liberalismens stora majoritet i Norrlandskommittén samt av den socialdemokratiska och liberala stora majoriteten i jordkommissionen om denna framfärd i välfärdspolitik ligga ännu obeaktade av regeringsmakten eller med andra ord av en på den punkten svag regering. Trettiofre långa år ha förflutit i kamp och tryckningskostnader mot ett sådant styrelsesätt.</w:t>
        <w:br/>
        <w:br/>
        <w:t>Från denna talarstol vädjas nu till jordbruksminister Bramstorp att gå till grunden med sina tacknämliga bragelöften till det glömda jordfolket. Då komma med visshet även den huvudsakligen industriella socialdemokratiens representanter i statsrådet att följa honom. Endast på denna väg kunna Bramstorps nämnda löften slå i spann. Var säker om det, herr statsråd!</w:t>
        <w:br/>
        <w:br/>
        <w:t>Det är icke heller något orimligt, som begäres. Rörligt kapital och inkomst konfiskeras ju utan gottgörelse genom extra beskattning för arbetslöshetens bekämpande m. fl. omistliga behov. Här gäller det endast en lagstiftning, som kan vara till hands att evolutionsvis framtvinga överenskommelser, skäliga överenskommelser om ovannämnda frigörelser av jord, och detta, märk väl, mot ersättning.</w:t>
        <w:br/>
        <w:br/>
        <w:t>Humoristiskt är att åse, hur statsverkspropositionen vrider sig såsom en mask i myrstacken inför det redan inom Norrlandskommittén uppfiskade problemet om en komplettering av ofullständiga jordbruk med tilläggsjord. Ett problem som även regeringsmakten, representerad av dåvarande jordbruksminister von Stockenström — även han är frånvarande nu och jag kan därför inte vända mig direkt till honom för att berömma honom — slutligen år 1928 förklarade vara av stor vikt för staten. Budgeten kommer nu med ytterligare nya anslag för att förbättra de ofullständiga jordbrukens ofullständiga jord med stenbrytning och varjehanda annat. Ja, även med hjälp till nyodling, ehuru dessa jordbruks karakteristik övervägande utmärker sig just för frånvaro av avsevärd odlingsbar mark. Med detta camouflage, i och för sig gärna välkommet, söker man fördölja för sig själv och andra huvudsaken, nämligen tilläggsjorden.</w:t>
        <w:br/>
        <w:br/>
        <w:t>Man kan ju, såsom skedde med den norrländska förbudslagen och andra i sammanhang därmed stiftade sociala jordlagar, börja med det nordliga Sveriges industriella jordmonopol. Där gäller det ju återförvärv i smått av kronojord, som skänkts till jordbruket men av förbiseende råkat i andra händer för de billigaste penningar. Här skulle till och med i många fall kunna ifrågasättas en ringa reduktion — den bleve blott en småsak i uppoffringar emot de ofantliga vinningar, som detta förbiseende förlänat skogsindustrien, varom förbluffande siffror kunna av statsrådet inhämtas ur min särskilda utredning till Norrlandskommitténs betänkande. Av en småsak i kronor har det blivit miljoner. Sådant är det läget.</w:t>
        <w:br/>
        <w:br/>
        <w:t>Till denna erinran mot utebliven demokrati i jordfrågan må anknytas några ord om det demokratiska problemet i allmänhet.</w:t>
        <w:br/>
        <w:br/>
        <w:t>Vi drunkna för närvarande i världens beröm över vår demokrati och lyckan att ha undgått diktatur. Historien, även den svenska, vimlar emellertid av exempel på omväxlingen av dessa styrelsesätt, beroende naturvetenskapligt</w:t>
        <w:br/>
        <w:br/>
        <w:t>Det är farligt med detta smicker, ty vi glömma, att diktaturen ofta framgår ur demokratiens bristande självtukt eller ofrivilliga undergång i brydsamma tider genom folkledare, såsom redan Sokrates erinrade. Vidare må ej förglömmas, att den politiska demokratien är byggd på majoritetsavgörande. Det är ett stort framsteg från avgörande genom vapen eller despoti. Men majoritetsväldet kan icke heller alltid vara Guds bästa barn. Och i princip är det ett nödtvång, ganska odemokratiskt. Det saknas särdeles ofta ädelmod och mildhet även i denna maktutövning samt hänsyn till och skydd för minoriteterna.</w:t>
        <w:br/>
        <w:br/>
        <w:t>Låtom oss således begynna med en granskning av vår egen demokrati, innan den kanske en vacker dag alltför mycket står vid ingången till något, som i ganska hög grad påminner om ett diktaturtillstånd i mångt och mycket.</w:t>
        <w:br/>
        <w:br/>
        <w:t>På senare tider ha höjts rop efter en stark regeringsmakt. Ja, för att folket ej må förvillas, bör en regering veta vad den vill även i stora frågor. Den bör ej tveka att framlägga sin uppfattning för riksdagen utan att på förhand ängsligt göra sig underkunnig om vad som kan gå igenom i en söndrad partiriksdag. Att falla på en stor fråga är en demokratisk uppgift för en stark regering. I jordfrågans lagvägar ha regeringarna på senare tider följt den ängsliga, svaga vägen, i arbetslöshetsfrågan den starka.</w:t>
        <w:br/>
        <w:br/>
        <w:t>I en föregående tid ropades åter, att all makt skulle ligga i folkrepresentationen. Även detta blir till sist också en fara för demokratien. Montesquieus liberala författning, på vilken demokratien fortfarande bygger, tredelade därför maktutövningen för att åstadkomma en samverkan med undvikande av ett enda övervälde. Enligt denna anvisning bör således eftersträvas en stark regering och en stark riksdag, som samverka självständigt, med förståelse. Bortom och över båda står folkets röst, som även plägat i det stora loppet kallas Guds röst.</w:t>
        <w:br/>
        <w:br/>
        <w:t>Med en sådan slutsats bör ett parti vid regeringsmakten helst icke sätta in sin även riksdagsvalda statsminister eller någon av övriga riksdagsvalda statsråd som ordförande i riksdagspartiet och dess förtroenderåd. Det är ett intressant men vid detta tillfälle för vidlyftigt kapitel att följa meningsbrytningarna och praktiken härvidlag efter vänsterns genombrott.</w:t>
        <w:br/>
        <w:br/>
        <w:t>För de enskilda riksdagsmännens oberoende av partidiktatur äro garanterade i riksdagsordningen fri motionsrätt och fri yttranderätt, naturligtvis varje ledamot obetaget att hos sitt partis överordnade söka råd och upplysningar, ifall han behöver dem och tror, att dessa överordnade äga kompetens på området. Det där är något, som jag tycker behöver sägas.</w:t>
        <w:br/>
        <w:br/>
        <w:t>En förnämlig demokratisk institution är även vår konstitutionella praxis om interpellationsrätt för varje riksdagsmedlem och dess tillämpning så, att interpellations framställande i regel beviljas och interpellation anses böra besvaras av vederbörande statsråd oberoende av interpellantens åskådningssätt och betydelse i maktspelet. Endast undantagsvis vägra kamrarna interpellations framställande, och lika sällan har ett statsråd tillåtit sig att ej på det ena eller andra sättet besvara den.</w:t>
        <w:br/>
        <w:br/>
        <w:t>På sista tiden har framträtt en ny företeelse i form av en vidgad underlåtenhet från flera statsråds sida att besvara en beviljad interpellation. Icke ens enskilt meddelande härom till interpellanten har ansetts behöva förekomma. Denna nya antidemokratiska praxis ifrån regeringsmakten har väckt uppmärksamhet på skilda håll. Första kammarens förre talman har privat uttalat ett beklagande härav.</w:t>
        <w:br/>
        <w:br/>
        <w:t>De proportionella valen tillkommo för att bereda minoriteter formell rättvisa. Genom uppmuntran till en växande partisplittring har proportionalis-</w:t>
        <w:br/>
        <w:br/>
        <w:t>Statsverkspropositionen. (Forts.) men blivit en förnämlig orsak till diktaturens uppkomst. Tyskland har givit ett skolexempel härpå. Att partiernas ordförande omvandlas till ledare har förmodligen skett därför att de förra utbildade sig just därtill för att kunna bättre sammanhålla lederna i partistriderna. Denna lilla tidsbild är sålunda också ett varsel om en demokratiens sakta vandring i vår upplösta tid mot diktatur. Liberalismens parlament var, bildlikt talat, byggt på att utgöra ett åkerbruk med fria småbrukare. Det blir ingen lätt sak att emot tidens strömningar skydda det ursprungliga idealet från att, fortfarande bildlikt talat, allt mer nedsjunka till en lägre kultur påminnande om boskapsskötsel, såsom det en gång frispråkigt varnades.</w:t>
        <w:br/>
        <w:br/>
        <w:t>Till sist några ord om världens jordfråga och vår utrikespolitik.</w:t>
        <w:br/>
        <w:br/>
        <w:t>Det gäller nu som tillförene den varaktiga fredens problem. Det hotande världslägets faror betvingas ej genom de pågående allmänna upprustningarna. Därmed ökas de blott. Militärfrågan och fredsfrågan sammanhänga nu mer än någonsin såsom ett odelbart problem. Rustningarna härleda sig närmast från stormakternas vanskligheter. Så länge dessa ej väsentligen avvecklats genom internationell rättsordning, byggd på rätt, sanning och god vilja, fortfara rustningarna.</w:t>
        <w:br/>
        <w:br/>
        <w:t>En omvandling och sammanhållning av den europeiska pacifismen äro också oundgängliga. I folkförbundet, regeringarna, parlamenten och fredsföreningarna är denna nedsjunkna världsdel inställd på den ruinerande synvillan att kunna avskaffa krig och rustningar med bibehållande i stormakternas intresse av nämnda företeelsers djupgående orsaker.</w:t>
        <w:br/>
        <w:br/>
        <w:t>Ofredens huvudorsaker äro som bekant följande: kränkande fortfarande av nationernas självbestämningsrätt — särskilt i Europa, Asien och Afrika — språkförbistringen, den rasande ekonomiska konkurrensen, försummande av Jordens befolkningsfråga, åsidosättande av de andliga värdena och de moraliska faktorerna. Den dominerande orsaken för närvarande är nationalitetsför- TyEke 1 samband med språkförbistringens ofred och missförstånd över värl-</w:t>
        <w:br/>
        <w:br/>
        <w:t>Varför rusta, ja till och med upprusta svenskarna? Jo, därför att de frukta stormakternas rustningar. Varför rusta och upprusta stormakterna? Jo, icke minst för att upprätthålla sitt herravälde över främmande nationaliteter, särskilt de färgade raserna i Asien och Afrika. Alltså får Sverige fortsätta med sina rustningar ända till dess de färgade raserna blivit frigjorda. Ett sådant perspektiv kan visserligen mana till frågan: vilket är tryggast eller minst osäkert för Nordens små stater — att svara på stormakternas rustningar med nordisk upprustning eller med ett totalt avrustat Norden? Såvitt jag förstår är den senare utvägen vid allvarligt övervägande mindre äventyrlig.</w:t>
        <w:br/>
        <w:br/>
        <w:t>Med den varaktiga fredens förenämnda uppgifter sammanhänger den uppenbarade nödvändigheten av folkförbundets omgestaltning till idéer och organisation. Detta är ingen förebråelse emot förbundet. Det har ej i ett slag kunnat taga mandom i en värld av ofullkomliga människor och följaktligen även av ofullkomliga stater. De tyska och franska regeringarna ha framkommit med konstruktiva stormaktsplaner för Europas fred, och nya äro ställda i utsikt. Nordens kallelse bör väl då vara att lägga fram en sådan plan för världens fred. Ett nytt folkförbund måste omsider taga sikte på och med sin författning införliva undanröjandet av krigens och rustningarnas ovannämnda orsaker. WSanktionernas våldsvägar och folkförbundskrigens orimligheter böra ej vidare få besudla förbundets livsnerv. Intet samröre borde få äga rum mellan förbundet och segerfredens traktater. En samlad framryckning mot samvetsfronterna med sanningens makt är det väldigaste eller enda påtryckningsmedlet för evolutionens inriktning mot en internationell rättsordning.</w:t>
        <w:br/>
        <w:br/>
        <w:t>Beträffande organisationen är väl ofrånkomligt, att folkförbundet upphör att vara ett väsentligen europeiskt regeringsförbund, byggt på en segerfred och lett av stormakter. Ger det sig icke av sig självt, att folkförbundet hädanefter måste arbeta på avdelningar, motsvarande de skilda världsdelarna, och att dessa avdelningar inställas under en gemensam överledning? Ett pan- Amerika är redan en verklighet. Ett pan-Europa spökar sedan länge som ett önskemål. Asien längtar oändligt efter sitt pan-Åsien. Ett pan-Afrika kommer nog i sinom tid till tals och har redan då och då givit sig tillkänna. Likaså ett pan-Australien, såvida det ej anses rätteligen böra ingå under ett pan-Asien.</w:t>
        <w:br/>
        <w:br/>
        <w:t>Först och sist: att tala sanning i utrikespolitiska angelägenheter bör dock numera kunna anses vara både tillåtligt och nödvändigt.</w:t>
        <w:br/>
        <w:br/>
        <w:t>Med dessa randanmärkningar, herr talman, till remissdebatten be vi att få tillönska den nya regeringen en god fortsättning på det nya året under förhoppning att den måtte lyckas att i samförstånd med riksdagen och partierna inrikta den demokratiska utvecklingen till att bereda en anständig bärgning åt landets alla barn. Må regeringen likaså förunnas att besinningsfullt och konciliant hålla korsfanorna högt över Nordens nu skildrade utrikespolitiska kallelse under dessa bistra tider!</w:t>
      </w:r>
    </w:p>
    <w:p>
      <w:pPr>
        <w:pStyle w:val="Heading2"/>
      </w:pPr>
      <w:r>
        <w:t>2. Karl Wistrand (Högerpartiet, man)</w:t>
      </w:r>
    </w:p>
    <w:p>
      <w:r>
        <w:rPr>
          <w:b w:val="0"/>
        </w:rPr>
        <w:t>Herr talman! Den budget, som i år lagts fram för oss, framkommer under en alldeles extrem högkonjunktur — jag säger med flit extrem, ty den har både till sin vidd och till sina orsaker en karaktär, som hänför sig till klara undantagsförhållanden.</w:t>
        <w:br/>
        <w:br/>
        <w:t>Det ger grundad anledning till oro, att under sådana förhållanden budgeten allt fortfarande skall belastas med en skattebörda, vars tillkomst just föranletts av en nästan lika extrem lågkonjunktur med alla dess svårigheter. Kristidsbördorna stå alla kvar, fastän kristiden har försvunnit, och i det föreliggande budgetförslaget belastas landets skattebetalare med kvarstående kristidsskatter, som man kan beräkna till ett sammanlagt belopp av icke mindre än 240 miljoner kronor.</w:t>
        <w:br/>
        <w:br/>
        <w:t>Om man vill göra klar för sig innebörden av den utveckling, vi nu stå mitt uti, kan det vara ganska god anledning att som utgångspunkt taga ett yttrande 1 ett utlåtande, som statens organisationsnämnd avgav 1 september 1932 och som är undertecknat av nämndens ordförande, överståthållaren Torsten Nothin. Utlåtandet härrör sålunda från en tidpunkt, då huvuddelen av alla de nuvarande kristidsskatterna ännu icke hade tillkommit. I utlåtandet yttrade organisationsnämnden genom sin ordförande: »Även frånsett den växande depressionen hava statens utgifter nått en höjd, som knappast står i riktig proportion till landets ekonomiska bärkraft.»</w:t>
        <w:br/>
        <w:br/>
        <w:t>Denna uppfattning hystes alltså vid den tidpunkten även av personer inom kretsar, vilka hörde till den nuvarande finansministerns närmaste omgivning. Ansågo sig på den tiden insiktsfulla bedömare böra giva uttryck åt farhågor för den utveckling, som ditintills ägt rum, måste den inriktning, som utvecklingen därefter tagit, giva anledning till verkligt stor och allvarlig oro.</w:t>
        <w:br/>
        <w:br/>
        <w:t>För menige man tillbakavisar man i den populära agitationen ofta mycket lätt de farhågor, som en situation sådan som den, i vilken vi för närvarande äro, måste framkalla. De ökade bördor, som den offentliga skattepolitiken lagt på vårt samhälle, bäras och kunna, förmenar man, också i ökad utsträckning bäras av mera välställda lager av medborgare. I själva verket är detta ett resonemang, som saknar varje underlag i verkligheten. Det skikt,</w:t>
        <w:br/>
        <w:br/>
        <w:t>Statsverkspropositionen. (Forts.) vilket enligt populär uppfattning skulle kunna uppbära de ökade skattebördorna, är varken stort eller talrikt. Skatteprogressionens möjligheter att med skonande av lägre inkomsttagare förskaffa statsverket inkomster äro i mycket hög grad överskattade; även om man tänkte sig ett så äventyrligt experiment som att ingen i vårt land skulle tillerkännas rätt att behålla en högre inkomst än 10,000 kronor utan allt vad som låge över detta belopp skulle konfiskeras, skulle ändock med ett på dylikt sätt till det allmänna indraget belopp endast en fjärdedel av statens och kommunernas nuvarande totala skattebehov fyllas.</w:t>
        <w:br/>
        <w:br/>
        <w:t>En jämförelse över stegringen av nationalinkomsten och av den totala beskattningen under de år, som förgått sedan den senaste högkonjunkturen, 1929, och till det sista år, för vilket statistiskt material finnes tillgängligt, nämligen år 1935, ger en ganska belysande bild av läget. Under denna tid har det till inkomstoch förmögenhetsskatt taxerade inkomstbeloppet stigit med 94 miljoner kronor. Den totala beskattningen till stat och kommun har återigen under samma tid stigit med 187 miljoner kronor. Alltså hade man under tiden från senast gångna högkonjunktur i skatter uttagit ett belopp som var dubbelt så stort som stegringen av skatteunderlaget för den direkta statsbeskattningen.</w:t>
        <w:br/>
        <w:br/>
        <w:t>Det skulle kunna anföras många fler exempel till belysande av hela denna skrämmande utveckling, vars innebörd ännu ej på långt när står klar för vårt lands allmänhet. Ett kan emellertid redan nu utan vidare fastslås: fortsatta skattestegringar kan samhället icke bära utan att kostnaderna därför mycket snabbt flyttas över på befolkningslager, vilka hittills ha trott sig kunna huvudsakligen bliva föremål för det allmännas omsorger under det nya systemet med forcerat utvidgad statsverksamhet, som nu i vårt land under de senaste åren har inaugurerats. Man kan också med tämligen stor visshet förutse, att utvecklingen om några år, då vi få tillfälle att betrakta den retrospektivt, icke kommer att framstå i det rosiga morgonskimmer, i vilket välfärdsstaten nu hägrar för så många.</w:t>
        <w:br/>
        <w:br/>
        <w:t>Det är ju, som herr statsrådet och chefen för finansdepartementet just framhöll, så, att skatteutvecklingen här i landet betingas i hög grad av en utgiftspolitik, som står i mycket nära samband med den socialpolitiska expansion, som under de senaste åren varit så stark här i vårt land och som väl, åtminstone enligt hans mening, om jag rätt förstod honom, allt fortfarande borde utbyggas. Nu lär väl ingen kunna på allvar förneka, i varje fall ingen som vill betraktas såsom ansvarig politiker, att samhället har en oavvislig plikt att skapa så goda förhållanden, så god standard som möjligt åt sina medlemmar och att medverka till lindrande och lättande av social nöd, att göra vad på det ankommer till folkhälsans främjande, till ålderstignas och skyddslösas vård och till undanröjande av ofrivillig arbetslöshet. Men det gäller ju framför allt då för samhället att välja de riktiga vägarna, och därvidlag är det ju som så ofta annars här 1 världen så, att genvägarna mycket lätt kunna bliva senvägar. Det är icke i varje fråga som lagstiftningen och statssubventionen är den effektivaste och säkraste boten. Samhället måste i fullföljandet av sin socialpolitik, långt mera än vad nu ingår i allmän uppfattning och praxis, hålla i sikte det oupplösliga sambandet mellan sociala och ekonomiska frågor. I själva verket är nästan varje social fråga en ekonomisk, och samhället har ju inga andra resurser att hjälpa med än sina egna. Detta är någonting som ofta blir förbisett i den allmänna diskussionen därför att det ännu så länge har gått att, utan att återverkningarna blivit klara, lägga ökningarna av den direkta beskattningen så gott som helt på en samhällsklass. Men i längden är detta, av skäl som jag redan antytt, omöjligt och det har också sina risker, skulle</w:t>
        <w:br/>
        <w:br/>
        <w:t>Statsverkspropositionen. (Forts.) jag vilja säga, ur andra synpunkter, som äro av mera principiell och andlig art. Det är i själva verket ingenting som är så komprometterande för demokratien som att den andan vinner insteg, att samhällsmakten får utnyttjas till vissa samhällsklassers förmån på andra samhällsklassers bekostnad. På dem, som giva en sådan anda näring, skulle man verkligen kunna tillämpa bibelordet om den, som förför en av dessa små. Ty farligare tvinsot kan knappast föras in i ett samhälle. Denna sanning har kanske varit mera uppenbar under andra tidslägen än vårt eget. Men är det i själva verket icke så, att alla eller i varje fall de flesta av den sista tidens svårigheter, allt vad vi fått uppleva av demokratiens ruin och vånda, kan i många avseenden hänföras till just samma erfarenheter, som lågo till grund för ett yttrande, som en gång fälldes av en av den segrande demokratiens främste under den franska revolutionen, Robespierre, och som än i dag är högaktuellt: »En demokrati, där budgeten voteras av somliga och betalas av andra, är icke långt ifrån undergången. En demokrati, där de mottagande samhällsmedlemmarna hava avgörandet, står helt inför den.»?</w:t>
        <w:br/>
        <w:br/>
        <w:t>Jag tror, att det i vår tid framför allt gäller att göra klart, att majoriteten av ett folk i längden icke kan förbliva den mottagande delen. Verkningarna av en politik, som näres av den chimären, visa sig kanske till en början långsamt men sedan allt hastigare. Det finnes nämligen mycket bestämda och av livet självt givna gränser för det välstånd och den trygghet, som med röstsedelns hjälp kan framskapas. Redan den beskattning, som för närvarande föreligger, är i mycket hög grad ägnad att motverka bildningen av det slag av kapital, som kanske mera än något annat är smörjoljan i det ekonomiska maskineriet, det som innehavaren utan att riskera sin utkomst kan sätta in på tekniska experiment, på rön och undersökningar och på hela det stora, oundgängliga ekonomiska nydaningsarbetet. Härtill bidrager också 1 hög grad den osäkerhet, som för närvarande vidlåder vad som tidigare ansågs vara det säkrast av allt i ett kultursamhälle — äganderätten. En skattepolitik, som överskridit gränserna till förmögenhetskonfiskationen och ibland tillkännager sig göra detta i det medvetna syftet att utjämna inkomstskillnaderna, har visserligen många möjligheter att för en tid vinna anslutning och popularitet, men frukterna hava en mycket bestämd tendens att bliva långt bittrare än vad man ställt i utsikt.</w:t>
        <w:br/>
        <w:br/>
        <w:t>Jag förstår väl, herr talman, att de bekymmer, som jag i dag framfört, måste här i stort sett verka som en ropandes röst och att de aktuella förhållandena på det ekonomiska området verka på ett sätt, som mycket väl kan föranleda och uppamma bekymmerslöshet. Men ingen lärer väl dock kunna göra gällande, att icke efter högkonjunktur kommer att följa lågkonjunktur. Beträffande våra statsfinansers handhavande, vårt sätt att öka våra utgifter, så handlas det emellertid i dessa dagar, som om ingen ända vore på högkonjunkturens penningflöde; nya ändamål och behov hava skapats och skapas utan tanke, vågar jag säga, på en fortsatt finansiering under mindre lyckliga tider, då samhällets resurser återigen i fullaste utsträckning måste tagas i anspråk för lindrande av arbetslöshet och kanske även för stora offer för vår yttre säkerhet, vilka mycket väl kunna komma att framkallas av tidsläget och som vi icke nu kunna överblicka. Jag vill icke tro, att någon i denna kammare medvetet skulle vilja minska vår ekonomiska rustning att lösa de inre och yttre trygghetsproblem, som kanske en icke alltför avlägsen framtid kommer att uppställa för vårt folk, och å andra sidan tror jag icke heller, att någon på allvar skulle vilja förneka riktigheten av ett yttrande, som för något år sedan fälldes av direktören för den internationella arbetsbyrån i Geneve, mr Butler, att en socialvårdande samhällsverksamhet är en försäkring för</w:t>
        <w:br/>
        <w:br/>
        <w:t>Statsverkspropositionen. (Forts.) samhället. Men jag är icke lika övertygad om att man med samma omsorg överväger de ekonomiska möjligheterna och ekonomiska förutsättningarna att på lång sikt fullfölja en socialvårdande verksamhet i den omfattning, som man för närvarande betraktar som ett möjligt handlingsprogram. Det är dock en oundgänglig förutsättning för att sociala hjälpåtgärder icke skola få verkningar, som skapa ny social nöd, att det sker ett noggrant avvägande mellan de sociala kraven och de ekonomiska förutsättningarna att utan skada för folkhushållet kunna genomföra dem. Sker icke ett rätt sådant avvägande, kunna mycket lätt de sociala åtgärderna komma att skada menige mans bästa i stället fr, att, som väl dock är syftemålet med alla goda krafters verksamhet, tjäna det.</w:t>
        <w:br/>
        <w:br/>
        <w:t>På noggrannheten och lidelsefriheten i ett sådant avvägande beror i själva verket hela vår framtid, och verkningarna av hur denna avvägning sker komma, herr talman, att förspörjas långt över hävdvunna både ekonomiska och i inskränkt mening sociala råmärken.</w:t>
      </w:r>
    </w:p>
    <w:p>
      <w:pPr>
        <w:pStyle w:val="Heading2"/>
      </w:pPr>
      <w:r>
        <w:t>3. Ture Nerman (Socialdemokraterna, man)</w:t>
      </w:r>
    </w:p>
    <w:p>
      <w:r>
        <w:rPr>
          <w:b w:val="0"/>
        </w:rPr>
        <w:t>Herr talman! Det föreliggande budgetförslaget synes mig vittna om en god och balanserad borgerlig hushållning, och trontalet verifierade, att Sveriges förhållande till främmande makter är gott. Man skulle önska, att detsamma kunde sägas i alla stater. Nu, när folkmakten lever på defensiven, vågar man tills vidare inte ha andra anspråk än en god borgerlig hushållning — en sådan är i alla fall bättre än en trasig borgerlig hushållning. Och man skulle önska, att man överallt kunde lika lidelsefritt som här diskutera behövliga utgifter och åtgärder.</w:t>
        <w:br/>
        <w:br/>
        <w:t>Tyvärr står det inte så till. Tyvärr måste man vid behandlingen av den statsverksproposition, som föreligger, också ta hänsyn till läget ute i världen som bakgrund — hur futtigt det än känns att kannstöpa, då man ändå bara sitter på parketten och inte kan ingripa i spelet, hur hjälplösa än alla ord bli, då det mest nödvändiga av allt i världen Just nu är, att det spanska folkets lagliga regering får de vapen, livsmedel och läkemedel den behöver.</w:t>
        <w:br/>
        <w:br/>
        <w:t>Sveriges förhållande till främmande makter är gott. Men förhållandet mellan makterna över huvud är långt ifrån gott, och maktspelets utveckling kan mycket lätt draga in även Sverige i de allvarligaste faror. Därav följer naturligt en viss dämpning av tonen, men visst inte att man tiger.</w:t>
        <w:br/>
        <w:br/>
        <w:t>Nyckeln till hela världsläget just nu tror Jag man kan formulera helt kort ungefär så: i sin upplösning förmår den nuvarande hushållningen inte längre bibehålla den nuvarande fördelningen av jordens områden och rikedomar orubbad. Man rustar till ett nytt krig för nyuppdelning. Därav förklaras staternas hårda hand mot allt motstånd från arbetarrörelse och övriga fredssträvanden, staternas brutala likriktning av både ungdom och äldre — allt detta hårdast 1 diktaturstaterna, som ha hunnit längre på vägen. Våldsfreden efter världskriget, ett naturligt uttryck för det rådande systemet, bär närmast skulden till oron och rustningshetsen. De stater, som sutto svårast till, ha fallit i händerna på en barbarisk våldsdyrkande rörelse av, vill jag säga, rent kriminell art, framträdande som fascism och nazism. När den sista stora krisen hade lamslagit den vita världen, passade medlemmen av Nationernas förbund Japan på att överfalla medlemmen av Nationernas förbund Kina och ta för sig stora områden av Kina. Nationernas förbund kunde ingenting göra. När det överfallet gick så bra, överföll medlemmen av Nationernas förbund Italien medlemmen av Nationernas förbund Abessinien och det gick lika bra eller bättre. Nationernas förbund protesterade och införde en sorts blockad och senare sanktioner, som hindrade det anfallna landet att få vapen, och när rovet var fullbordat upphävdes snällt och belevat blockaden och sanktionerna, och</w:t>
        <w:br/>
        <w:br/>
        <w:t>När Abessinien var rövat, började Italien och Tyskland genom den köpta, landsförrädiska spanska militärledningen krig mot Spaniens lagliga folkliga regering. Det kriget, som med alla sina fasor ännu pågår med tämligen öppet understöd från, om jag så får säga, barbareskstaterna — tvärs igenom diplomatiens förljugna fredsfraser — är tydligen ingenting annat än ett led i det gamla kriget från 1914 och längre tillbaka, kampen om hegemonien i Medelhavet och på andra håll, fast man nu för det med en del nya fraser: om bolsjevism, om kommunism och dylikt. I grunden tror jag, att geografien här spelar större roll än ideologien.</w:t>
        <w:br/>
        <w:br/>
        <w:t>Liksom i fallet Abessinien ha de andra, de neutrala makterna, enligt uppgift för att hindra att kriget i Spanien vidgas utöver gränserna, beslutat en blockad eller non-intervention, varmed man i realiteten har erkänt bägge parterna som krigande makter. Sverige har som andra småstater följt med, och annat var ju inte att vänta, då Sverige som liten borgerlig stat knappast kan tänkas våga föra en självständig utrikespolitik. Även utrikespolitiken blir en affärskalkyl. Jag skall inte kritisera utrikesledningen — den har nog tungt ändå utan att man i onödan kommer med kritik. Frågan kommer kanske upp utförligare i andra kammaren, där mina meningsfränder ha interpellerat om non-interventionspolitiken. Men jag kan inte undgå att livligt beklaga osjälvständigheten i svensk utrikespolitik, både då det gällde upphävandet av sanktionerna mot Italien och då det nu rör behandlingen av det vänskapligt sinnade Spanien.</w:t>
        <w:br/>
        <w:br/>
        <w:t>Är man så undfallen i den riktningen, tycks man emellertid från svensk sida våga visa lejonklon, då det gäller ett annat väderstreck. Det gäller en bagatell, men en bagatell med osmaklig tendens: demonstrationen med det svenska nationaldjuret i Narva. Jag vet inte, om regeringen på något vis uppvaktade där, i varje fall var det väl, att den inte var representerad vid spektaklet.</w:t>
        <w:br/>
        <w:br/>
        <w:t>Små stater behöva emellertid inte vara fega. Det har Norge visat, både mot Tyskland och Nobelska fredspriset till Ossietzky och delvis mot Sovjetunionen i fallet Trotskij. Det är inte ofta man får vara glad åt vad stater göra. Men det är angenämnt, när man någon gång får vara det. Jag har inget emot att någon gång få känna mig stolt över Sverige. i</w:t>
        <w:br/>
        <w:br/>
        <w:t>Mera skall jag inte, herr talman, yttra om det utrikespolitiska läget. Vad det inrikespolitiska beträffar, skall jag inte heller bli mångordig. .</w:t>
        <w:br/>
        <w:br/>
        <w:t>Höstens andrakammarval blev ju en stor seger för arbetarsidan. Det parti jag representerar hade inte samma framgång som de två andra partierna. Det hindrar emellertid inte, att jag är glad åt arbetarsidans seger och erkänner, att socialdemokratiens framgång berodde på både skicklighet och tur. Partiet är för mig inte det högsta.</w:t>
        <w:br/>
        <w:br/>
        <w:t>Den nya regeringen har nu en ovanligt gynnsam ställning med klar majoritet i bägge kamrarna; spelet bör kunna gå utan störningar, och samarbetet mellan arbetare och Bönder är 1 och för sig en god sak. Angreppen från borgerligt håll mot bondeförbundet och senast magsyran här i kammaren 1 dag är ett behagligt bevis på att den borgerliga fronten är sprängd.</w:t>
        <w:br/>
        <w:br/>
        <w:t>I den stora framgången och inför de stora möjligheterna som finnas, vill jag med instämmande i herr Lindhagens värdefulla ord om regering och folkrepresentation till sist tillåta mig att uttrycka förhoppningen, att regeringen intensivt utnyttjar alla möjligheter på ett helt annat sätt än den tyska social-</w:t>
        <w:br/>
        <w:br/>
        <w:t>Statsverkspropositionen. (Forts.) demokratien från 1918. I både positiv och negativ riktning. Jag har ingen pekpinne att komma med. Men man kan möjligen få antyda den mycket allmänna önskan inom arbetarkretsar att få avskaffad arbetslöshetskommissionen — som alltjämt är lika impopulär — och arbetarklassen har överhuvud taget rätt att kräva, att samhället erkänner sina skyldigheter mot alla arbetslöshetens oförskyllda offer. Av privatföretagarna — som jag, med ett uttryck som herr Wistrand nyss fällde, fastän i en annan mening, skulle vilja kalla de mottagande klasserna — av privatföretagarna i Gimo och på andra håll väntar man sig inte alltför mycken ansvarighet.</w:t>
        <w:br/>
        <w:br/>
        <w:t xml:space="preserve">Jag tillåter mig vidare antyda kravet på förbättringar i pensionsväsendet utöver de dyrortstillägg regeringen kommer att genomföra — jag avser främst en sänkning av pensionsåldern. Där är vidare behövliga löneförbättringar åt de helt eller delvis statsanställda — bland annat folkskollärarna — och kravet på lika lön åt </w:t>
      </w:r>
      <w:r>
        <w:rPr>
          <w:b/>
        </w:rPr>
        <w:t>kvinna¹</w:t>
      </w:r>
      <w:r>
        <w:rPr>
          <w:b w:val="0"/>
        </w:rPr>
        <w:t xml:space="preserve"> som åt man för lika arbete. Där är ytterligare åtgärder för demokratisering på olika håll — det allra viktigaste, att man håller ögonen på den officerskår, i vars händer det starkt utökade svenska nationalförsvaret ligger, att man noga ser till att den är en svensk officerskår utan sidoblickar och relationer till »das grosse Vaterland» eller andra »Vaterland». Skall Sveriges folk med glädje hävda sitt oberoende utåt, vill det veta sig anfört av svenska generaler, inte generaler av spansk modell 1936. Egentligen borde vapnen förvaras hos folket, för säkerhets skull hos bönder och arbetare — Jag skulle vilja ha dem förvarade hos fackföreningarna. När nu skytteanslaget har blivit officiellt godtaget, bör fortsättningen bli ett massinträde av organiserade arbetare i skytteföreningarna.</w:t>
        <w:br/>
        <w:br/>
        <w:t>Det är klart, att helst i den regeringssamverkan, som nu råder, kan socialdemokratien inte väntas driva någon som helst direkt socialistisk politik eller utpräglad arbetarpolitik. Men vad man kan fordra, är att den driver aktiv demokratisk politik inom det borgerliga samhällets ram. Sedan får man se, hur länge ramen håller. .</w:t>
        <w:br/>
        <w:br/>
        <w:t>Och så ber jag — fastän jag i mycket tänker olika mot herr Hamrin — att få förena mig med honom i hemställan att den föreliggande kungl. propositionen måtte remitteras.</w:t>
        <w:br/>
        <w:br/>
        <w:t>Överläggningen blev nu för en stund avbruten för att begärt tillfälle skulle beredas herr statsrådet Möller att avlämna kungl. propositioner.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785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