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2127</w:t>
      </w:r>
    </w:p>
    <w:p>
      <w:r>
        <w:rPr>
          <w:b/>
        </w:rPr>
        <w:t xml:space="preserve">Datum: </w:t>
      </w:r>
      <w:r>
        <w:t>1938-02-16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Martin Skoglund (–, man)</w:t>
      </w:r>
    </w:p>
    <w:p>
      <w:r>
        <w:rPr>
          <w:b w:val="0"/>
        </w:rPr>
        <w:t>Herr talman! Både när jag deltog i behandlingen av detta ärende i utskottet och när jag senare läste den passus i utlåtandet, där utskottet säger, att det kan förefinnas risk för att kommunerna av kostnadsskäl låta barn komma in på skyddshem, vilka egentligen inte borde vara på en sådan anstalt, kom jag att tänka på något, som ligger nära detta ärende och som gör, att jag skall tillåta mig att taga kammarens tid i anspråk några minuter.</w:t>
        <w:br/>
        <w:br/>
        <w:t>Jag är inte, herr talman, alldeles säker på, att det inte även i andra fall än utskottet nämnt kan förefinnas risk för att barn, som aldrig borde vara på ett skyddshem, ändock komma dit. Det sker inte på grund av någon hårdhjärtenhet eller av uppenbar likgiltighet, utan det sker många gånger av rent oförstånd. Jag skall inte uttala mig om, huruvida våra skyddshem äro väl skötta eller inte. Jag tror, att den, som skall våga sig på ett sådant omdöme, måste känne denna fråga mycket noga. MNäkerligen är den personal, som finns på skyddshemmen, besjälad av en uppriktig önskan att göra det bästa möjliga för sina skyddslingar, men min personliga uppfattning är den, att inga barn böra utan som allra sista nödfallsutväg uppfostras kollektivt. Jag tror, herr talman, över huvud taget inte på möjligheten av att sammanföra ett flertal vildbasare på ett ställe och säga, att man där skall göra goda och nyttiga medborgare av dem. Enligt min bestämda uppfattning är det mycket, mycket större möjlighet att i ett gott hem och en god miljö göra en bra och samhällsnyttig människa av en ungdom, som kanske råkat ut på litet dåliga vägar. I och med en utveckling i den riktningen att kommunerna befrias från de utgifter, som äro förenade med barnens intagning å</w:t>
        <w:br/>
        <w:br/>
        <w:t>komma till ett skyddshem.</w:t>
        <w:br/>
        <w:br/>
        <w:t xml:space="preserve">Jag har, herr talman, känt ett personligt behov av att från denna plats säga detta, ty jag har vid mer än ett tillfälle sett, hurusom just sådana här ungdomar, när de omplanterats i ny miljö och blivit föremål för kärleksfulla människors omhändertagande, blivit goda människor. Jag är inte säker på, att dessa om de mera slentrianmässigt överförts till skyddshem eller liknande anstalter skulle ha blivit de människor de blivit. Vad jag framför allt befarar är att den speciella prägel, som dock en anstaltsvistelse sätter på vederbörande, skall följa honom eller </w:t>
      </w:r>
      <w:r>
        <w:rPr>
          <w:b/>
        </w:rPr>
        <w:t>henne²</w:t>
      </w:r>
      <w:r>
        <w:rPr>
          <w:b w:val="0"/>
        </w:rPr>
        <w:t xml:space="preserve"> åtskilliga år framåt i livet.</w:t>
        <w:br/>
        <w:br/>
        <w:t>Jag har, herr talman, på den här ifrågavarande punkten intet annat yrkande än om bifall till utskottets förslag. Vad jag här sagt har jag närmast velat adressera till herr statsrådet och chefen för socialdepartementet.</w:t>
      </w:r>
    </w:p>
    <w:p>
      <w:pPr>
        <w:pStyle w:val="Heading2"/>
      </w:pPr>
      <w:r>
        <w:t>2. Josef Weijne (Socialdemokraterna, man)</w:t>
      </w:r>
    </w:p>
    <w:p>
      <w:r>
        <w:rPr>
          <w:b w:val="0"/>
        </w:rPr>
        <w:t xml:space="preserve">Herr talman! Jag lyssnade med stor uppmärksamhet till herr Skoglunds anförande. Gentemot hans principiella ståndpunkt ifråga om barns intagande på anstalt eller vård utanför anstalt har jag ingen invändning att göra. Däremot tror jag, att hans farhågor för att barnavårdsnämnderna numera skulle skicka barn, som inte lämpligen böra uppfostras i skyddshem, till dylika hem äro i hög grad överdrivna. Den 1 januari i år trädde nämligen den nya skyddshemsreformen i tillämpning. En av de bärande principerna i denna reform, frånsett differentieringen av de omhändertagna, är att det skall vara en sträng granskning vid intagandet. Under det att skyddshemsstyrelserna tidigare fått avgöra frågan om intagning å skyddshem, sker detta avgörande numera centralt genom skyddshemsinspektören. Jag är för min del övertygad om, att skyddshemsinspektören vid granskningen av intagningshandlingarna verkligen kommer att se till, att en pojke eller en </w:t>
      </w:r>
      <w:r>
        <w:rPr>
          <w:b/>
        </w:rPr>
        <w:t>flicka²</w:t>
      </w:r>
      <w:r>
        <w:rPr>
          <w:b w:val="0"/>
        </w:rPr>
        <w:t>, som inte bör placeras i ett skyddshem, inte heller hamnar där.</w:t>
        <w:br/>
        <w:br/>
        <w:t>Jag vill vidare erinra därom, att tack vare den nya skyddshemsreformen en möjlighet skapats för vederbörande skyddshemsstyrelse att, om det finns anledning tro, att en elev, som är intagen på hemmet, lämpligare skall kunna beredas vård utanför detsamma, placera eleven ifråga så gott som omedelbart i enskild vård.</w:t>
        <w:br/>
        <w:br/>
        <w:t>Vad slutligen beträffar talet om det ekonomiska intresse, som barnavårdsnämnderna skulle kunna ha av ett omhändertagande, så förhåller det sig ju så, att barnavårdsnämnderna allt fortfarande skola betala en till storleken fixerad</w:t>
        <w:br/>
        <w:br/>
        <w:t>Då jag, herr talman, haft mycket att göra med den skyddshemsreform som nu är genomförd, har jag velat framhålla dessa synpunkter på frågan utan att Jag dock därmed på något sätt velat vända mig emot den principiella ståndpunkt, herr Skoglund här i dag företrätt.</w:t>
      </w:r>
    </w:p>
    <w:p>
      <w:pPr>
        <w:pStyle w:val="Heading2"/>
      </w:pPr>
      <w:r>
        <w:t>3. Elof Lindberg (–, man)</w:t>
      </w:r>
    </w:p>
    <w:p>
      <w:r>
        <w:rPr>
          <w:b w:val="0"/>
        </w:rPr>
        <w:t>Herr talman! Då reservanten inom utskottet, herr Hage, är förhindrad att närvara i kammaren i dag, ber jag att i egenskap av motionär få säga några ord.</w:t>
        <w:br/>
        <w:br/>
        <w:t>Att frågan om lappmarkskommunernas uppflyttning i dyrortsgrupp när det gäller folkpensionerna, av mig och mina medmotionärer förts inför riksdagen, beror därpå, att vi anse, att lappmarken missgynnades i det av 1937 års riksdag antagna förslaget. Det är sålunda vår mening att om en grundlig undersökning av förhållandena däruppe skulle verkställas, så skulle det visa sig, att levnadskostnaderna där äro så höga, att samtliga kommuner skäligen borde hänföras till en högre dyrortsgrupp än den lägsta. Man får nämligen där uppe betala avsevärt mycket mera för livsförnödenheterna än i kustlandet. Den kraftigast bidragande orsaken härtill är att avstånden äro så stora och att kommunikationerna äro så bristfälliga. Transportkostnaderna bli därför mycket höga. Då lappmarkens jordbruk är endast relativt svagt utvecklat, spela transportkostnaderna, i synnerhet för livsmedel, en mycket stor roll.</w:t>
        <w:br/>
        <w:br/>
        <w:t>Det är känt för kammarens ledamöter bland annat efter en debatt, som en gång fördes här om undernäringen bland barnen i lappmarken, att betydande delar av befolkningen i ödebygderna leva under ytterst svåra sociala och eko-</w:t>
        <w:br/>
        <w:br/>
        <w:t xml:space="preserve">nomiska villkor. Det är svårt för arbetsföra människor att skaffa sig en dräglig utkomst, och det är i regel omöjligt för dem, som ha familj och alltså skola dra försorg om </w:t>
      </w:r>
      <w:r>
        <w:rPr>
          <w:b/>
        </w:rPr>
        <w:t>hustru²</w:t>
      </w:r>
      <w:r>
        <w:rPr>
          <w:b w:val="0"/>
        </w:rPr>
        <w:t xml:space="preserve"> och barn, att också svara för orkeslösa och ålderstigna förädrars försörjning. Den folkpension som åldringarna få vid uppnådd pensionsålder är naturligtvis ett mycket värdefullt tillskott, men den är inte tillräcklig, så dyra som livsförnödenheterna äro där uppe. I det förslag som regeringen förelade 1935 års riksdag, var hela lappmarken placerad i högre dyrortsgrupp än den lägsta. Lappmarken borde enligt min mening rättvisligen ha bibehållits i denna högre dyrortsgrupp även i 1937 års förslag.</w:t>
        <w:br/>
        <w:br/>
        <w:t>Andra lagutskottet har nu gentemot motionärerna åberopat ett uttalande av 1927 års riksdag, nämligen att riksdagen endast bör fastställa de grundläggande principerna för olika platsers dyrortsgruppering och låta de lagtillämpande myndigheterna svara för tillämpningen. Uti den motion som vi väckt är det emellertid inte fråga om enskilda orter utan om ett geografiskt område som motsvarar en fjärdedel av rikets yta, vilket givetvis förändrar saken avsevärt. Jag noterar emellertid med tillfredsställelse, att utskottet anbefallt vederbörande myndighet att beakta de synpunkter som framförts uti motionerna, när man går till den allmänna omprövning av dyrortsgrupperingen, som enligt gällande bestämmelser skall ske före utgången av år 1940. Denna synpunkt skulle emellertid ha erhållit ett väsentligt större värde om utskottet föreslagit bifall till motionen, som ju dock endast går ut på en hemställan till Kungl. Maj:t om frågans utredning.</w:t>
        <w:br/>
        <w:br/>
        <w:t>Jag tillåter mig nu, herr talman, att för min del understryka sakens vikt genom att yrka bifall till motionerna.</w:t>
        <w:br/>
        <w:br/>
        <w:t>I detta anförande instämde herrar Jacobson, Beckström, Åkerström och Johansson i Tväråselet.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