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2143</w:t>
      </w:r>
    </w:p>
    <w:p>
      <w:r>
        <w:rPr>
          <w:b/>
        </w:rPr>
        <w:t xml:space="preserve">Datum: </w:t>
      </w:r>
      <w:r>
        <w:t>1938-04-05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Victor Mattsson (Bondeförbundet, man)</w:t>
      </w:r>
    </w:p>
    <w:p>
      <w:r>
        <w:rPr>
          <w:b w:val="0"/>
        </w:rPr>
        <w:t xml:space="preserve">Bankoutskottets vice ordförande säger, att även om Faith- Ell levat längre, skulle </w:t>
      </w:r>
      <w:r>
        <w:rPr>
          <w:b/>
        </w:rPr>
        <w:t>änkan²</w:t>
      </w:r>
      <w:r>
        <w:rPr>
          <w:b w:val="0"/>
        </w:rPr>
        <w:t xml:space="preserve"> inte haft rätt att uppbära full pension. Men, herr talman, det är ju just dessa tio år i Estland, som föranlett detta förhållande, och det är därför som jag finner att det i detta fall föreligger särskilda omständigheter. Jag vidhåller mitt yrkande.</w:t>
      </w:r>
    </w:p>
    <w:p>
      <w:pPr>
        <w:pStyle w:val="Heading2"/>
      </w:pPr>
      <w:r>
        <w:t>2. Oscar Osberg (–, man)</w:t>
      </w:r>
    </w:p>
    <w:p>
      <w:r>
        <w:rPr>
          <w:b w:val="0"/>
        </w:rPr>
        <w:t>Herr talman! Jag har tillsammans med herr Olsson i Staxäng väckt motion vid årets riksdag om viss ändring i vattenlagen. Det som närmast givit oss anledning framföra vårt krav är den jordvärdering, som skett vid utbyggandet av Sotenkanalen. Det är många jordägare, som anse sig i det sammanhanget ha blivit mycket illa behandlade på grund av att den värderingsnämnd, som åsatt värdet, icke kommit upp till det belopp, som de anse hade varit det riktiga. När det gäller vanlig expropriation har jordägaren möjlighet att inför domstol hänvisa till någon av de valbara expropriationsmännen, som de önska skola deltaga i värderingen. Och när det är skiljemannaförfarande är det vanligt, att vederbörande jordägare utser en skiljeman, motparten utser en, och dessa två välja den tredje eller uppdraga åt K. B. att utse tredje skiljeman. Genom en sådan åtgärd kan jordägaren få en värderingsman, som har speciell kännedom om fallet, och den andra parten — antingen det är vägstyrelsen eller någon annan — kan också få fram sina synpunkter. |</w:t>
        <w:br/>
        <w:br/>
        <w:t>Nu är det ett annat förfarande härvidlag, och det är den saken vi tänkte, att man skulle kunna få en ändring i. Utskottet har remitterat motionen till vattenrättsdomarna 1 de olika distrikten — vi ha ju fyra vattendomstolar. Jag skall tillåta mig, herr talman, att läsa upp några punkter av de svar, som vattenrättsdomarna avgivit till förmån för sin ståndpunkt. Vattenrättsdomaren i Österbygdens vattendomstol har anfört följande: »Om det verkligen vore så, som motionärerna synas förmena, nämligen att ersättningsfrågor i vattenmål behandlas av en särskild synenämnd, måste medgivas, att vad de i motionen ifrågasatt ter sig rätt naturligt.» Denne vattenrättsdomare har således ansett, att vi i den delen ha rätt. Men sedan fortsätter han: »Då så icke är förhållandet, synes det uppenbart, att den väckta motionen icke kan föranleda någon åtgärd. Att inrätta ett organ med nu antydd uppgift finnes ej någon anledning till och måste jämväl antagas falla utom ramen för motionens syfte.» Jag skall citera också vad vattenrättsdomaren i Söderbygdens vattendomstol anför. Han säger: »Innebörden utav ifrågavarande motion synes icke vara fullt klar. I första hand får man nämligen det intrycket, att motionärerna skulle förmena, att sakägarna icke skulle bliva i tillfälle att vid syneförrättningar enligt vattenlagen vederbörligen utföra och bevaka sin talan. Så är emellertid, såsom framgår av olika bestämmelser i vattenlagen, ingalunda förhållandet, utan torde det tvärtom vara väl sörjt för att sakägarnas intressen i sådant hänseende varda vederbörligen tillvaratagna. Något behov av ytterligare bestämmelser i detta avseende torde således icke föreligga.» Så säger också vattenrättsdomaren i Västerbygdens vattendomstol — det är den domstol det härvidlag gällde: »De i motionen åberopade lagbestämmelserna avse syneförrättning rörande företag om inrättande av allmän flottled, om torrläggning av mark genom dikning, vattenavledning eller invallning samt om kloakledning ävensom sådana företag om vattenreglering, som efter vattenrättsdomarens eller vattendomstolens bestimmande skola be-</w:t>
        <w:br/>
        <w:br/>
        <w:t xml:space="preserve">Jag har tillåtit mig att göra ett litet extrakt av de handlingar, som röra det mål vi avse. Det framgår därav, att det var fråga om 29 markägare. De ha i ersättning för förlorad mark erhållit sammanlagt 38,624 kronor. Kanalens längd är 3.5 km., och det skulle således bli 11,000 kronor för varje km. Man förstår ju, att detta icke kan vara riktigt utan att det är för litet tilltaget. Jag känner några av markägarna och vill fästa herrarnas och </w:t>
      </w:r>
      <w:r>
        <w:rPr>
          <w:b/>
        </w:rPr>
        <w:t>damernas²</w:t>
      </w:r>
      <w:r>
        <w:rPr>
          <w:b w:val="0"/>
        </w:rPr>
        <w:t xml:space="preserve"> uppmärksamhet på en sak i detta sammanhang. En av dem har fått i ett för allt 3,148 kronor. Han påstår — och det kan vi medgiva, vi som ha kännedom om sådana ting — att detta belopp icke är ersättning ens för de överflödiga byggnader han får på sin gård, sedan han har måst minska kreatursstocken, Han har överklagat beslutet, och ärendet ligger i högsta domstolen. Det är gott och väl, att man har möjlighet att klaga — en del av vattenrättsdomarna åberopar också detta — men alla som ha någon kännedom om dylikt vet. hur det går. Det blir så kostsamt och så litet nytta med klagandet, att man drager sig för att göra det.</w:t>
        <w:br/>
        <w:br/>
        <w:t>Vi ha den uppfattningen, att det icke är lämpligt att ha så många olika regler för värdering av mark, jämte skador och intrång, det torde vara tillförlitligt nog att använda sig av samma system som tillämpas eljest, nämligen expropriationsförfarande eller skiljemannaförfarande.</w:t>
        <w:br/>
        <w:br/>
        <w:t>Nu är denna fråga rätt vidlyftig, och jag hoppas, att den skall komma fram nästa år mera utredd. I så fall tror jag inte, att vederbörande utskott eller riksdagen kan motsätta sig så rimliga krav som detta. Man strävar på alla områden efter att få rättvisa skipad, och då det är så i de två fallen, som Jag har talat om här, att de ha möjlighet att få någon, som de ha förtroende för och som känner till förhållandena, borde de också kunna få ett sådant tillmötesgående.</w:t>
        <w:br/>
        <w:br/>
        <w:t>Nu åberopas, att man har vattenrättsnämndemän. Men de äro ganska få inom ett län, och därför kan man få sådana, som inte alls ha den kännedom om saken, som skulle vara önskligt.</w:t>
        <w:br/>
        <w:br/>
        <w:t>Med dessa ord, herr talman, skall jag sluta. Jag skall inte göra något yrkande, men jag hoppas, att frågan nästa år skall komma fram för riksdagen 1 sådant skick, att vi vinna anslutning till tankegången i vår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