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2153</w:t>
      </w:r>
    </w:p>
    <w:p>
      <w:r>
        <w:rPr>
          <w:b/>
        </w:rPr>
        <w:t xml:space="preserve">Datum: </w:t>
      </w:r>
      <w:r>
        <w:t>1938-05-17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August Spångberg (Socialdemokraterna, man)</w:t>
      </w:r>
    </w:p>
    <w:p>
      <w:r>
        <w:rPr>
          <w:b w:val="0"/>
        </w:rPr>
        <w:t>Herr talman! Jag har väckt en motion med anledning av de stränga straffbestämmelser, vilka föreligga i detta lagförslag och som ju i sitt slag äro nya för vårt land. Här har det i många år rests en väldig folkopinion mot preventivlagen och för dess slopande. Denna opinion har varit så kraftig, att åklagarmyndigheterna ute i landet väl knappast någon gång ha handlat efter de bestämmelser, som nu finnas i gällande lag. Dessa ha sålunda stridit mot det allmänna rättsmedvetandet i så stor utsträckning, att åtal väl här knappast någon gång förekommit. Jag vill i detta avseende bara erinra om den bestämmelse i gällande lag som säger, att den som i skrift, som han utsprider, eller eljest genom tillkännagivande för allmänheten till salu utbjuder eller själv eller genom annan till försäljning kringför dylika föremål, eller under sådana förhållanden, att allmän fara för andras förförelse därav kommer, vare sig muntligen eller genom utspridande av skrift söker förleda till användande av föremål, som nu sagts, eller meddelar anvisning om sättet för deras användande, varde dömd till böter eller fängelse. Vi veta ju, att den där lagen praktiskt taget har saknat betydelse. Den enda betydelse, som preventivlagen haft, har varit, att den hindrat en önskvärd upplysningsverksamhet på sexualområdet, men några straff ha ju i regel inte förekommit. Nu återfinner man emellertid i det nya lagförslaget de straffbestämmelser, som finnas i nu gällande preventivlag, och man återfinner dem i skärpt form. Här föreslås i tredje paragrafen, att försäljning ej må äga rum genom kringföring och ej heller utomhus, och i fjärde och femte paragraferna stadgas straff av dagsböter eller fängelse för dylik försäljning samt för försäljning utan tillstånd. I den sistnämnda paragrafen föreslås straff upp till ett års fängelse för den, som</w:t>
        <w:br/>
        <w:br/>
        <w:t xml:space="preserve">Jag skulle tro att överhuvud taget ingen kan anse, att brott och straff i detta fall stå i någon som helst relation till varandra, utan man måste nog säga om den nya lagen, liksom man kunnat konstatera beträffande den gamla, att dessa bestämmelser strida mot det allmänna rättsmedvetandet. Jag tänker härvidlag på åklagarmyndigheterna ute i landet och hur de skola komma att tolka 3 $ i fråga om den verksamhet, som bedrives av Riksförbundet för sexuell upplysning, vilket bland annat långt uppe i de norrländska skogsbygderna anordnar föreläsningskurser med ändamål att upplysa utsläpade </w:t>
      </w:r>
      <w:r>
        <w:rPr>
          <w:b/>
        </w:rPr>
        <w:t>kvinnor¹</w:t>
      </w:r>
      <w:r>
        <w:rPr>
          <w:b w:val="0"/>
        </w:rPr>
        <w:t xml:space="preserve">, hur de skola kunna slippa ifrån att föda flera barn. Det är klart att det här är fråga om en nyttig och lovvärd verksamhet. Hur många fosterfördrivningar skulle inte kunna undvikas, och hur många tråkigheter och åtal vid våra domstolar skulle vi inte kunna slippa ifrån, om denna upplysningsverksamhet på det sexuella området kunde föras vidare? Det är detta som gör att man måste ge sitt allra bestämdaste lovord åt den verksamhet, som Riksförbundet för sexuell upplysning utövar. På dessa föreläsningar för man emellertid med sig preventivmedel för </w:t>
      </w:r>
      <w:r>
        <w:rPr>
          <w:b/>
        </w:rPr>
        <w:t>kvinnor¹</w:t>
      </w:r>
      <w:r>
        <w:rPr>
          <w:b w:val="0"/>
        </w:rPr>
        <w:t>, som måste passas in, vilket inte kan göras annat än av en sakkunnig. I 3 $ heter det nu: »Försäljning må ej äga rum genom kringföring och ej heller utomhus.&gt; Denna paragraf berör således även dem som medföra dylika medel på föreläsningar. Jag skulle förmoda, att åklagarmyndigheterna knappast skola kunna finna det med sitt rättsmedvetande förenligt att anställa åtal för en dylik verksamhet. Jag vill alltså uttala den förhoppningen, att de inte skola anställa åtal eller förföljelse mot Riksförbundet för sexuell upplysning för den lovvärda gärning, som förbundet utövar i Sveriges bygder bland den fattiga befolkningen. Om man nu har denna uppfattning, och denna uppfattning, så vitt jag förstår, är förankrad i det allmänna rättsmedvetandet, anser jag det oriktigt av riksdagen att nu besluta en lag, som inte kommer att efterlevas. Därför yrkar jag också, herr talman, att denna bestämmelse skall utgå. Det utskott som behandlat denna fråga har också skrivit, att det varit inne på denna tankegång och därvid ifrågasatt, huruvida inte frihetsstraffet skulle kunna uteslutas ur straffskalan, men att utskottet med hänsyn bl. a. till sådana fall, då försäljningsverksamheten i strid mot förordningens bestämmelser kan tänkas komma att bedrivas yrkesmässigt och i större omfattning — måhända av den som på grund av otillständig reklam eller av annan dylik anledning fått sitt tillstånd återkallat — inte kunnat ansluta sig till denna tanke.</w:t>
        <w:br/>
        <w:br/>
        <w:t>Jag måste säga, att nog finns det väl andra vägar än denna att komma till rätta med sådant som kan anses för otillständig och opassande reklam. Vi ha ju dock kvar 1 mom. av 13 $, även om vi slopa 2 mom., och jag skulle tro, att man enbart med tillämpning av 18 kap. 13 $ 1 mom. strafflagen skulle kunna förhindra en sådan otillständig reklam, som utskottet här har pekat på. Nog måste jag säga, att det verkar underligt att man här skall stadga straff för försäljning av en vara, då denna försäljning tidigare inte varit straffbelagd. Ty det har ju hittills inte varit försäljningen av preventivmedel i och för sig som varit straffbelagd. Straff stadgas i nu gällande lag endast för den som genom tillkännagivande i skrift eller dylikt utbjudit denna vara. Därför innebär den nya preventivlagen, som riksdagen nu är i färd med att antaga, en skärpning på många punkter av den förutvarande preventivlagen. Jag erkänner, att det givetvis är ett framsteg att en önskvärd upplysningsverksamhet på detta område inte längre skall kunna bestraffas, men jag anser, att de straffbestämmelser, som nu föreslås, stå i strid med det allmänna rättsmedvetandet, och jag tror all-</w:t>
      </w:r>
    </w:p>
    <w:p>
      <w:pPr>
        <w:pStyle w:val="Heading2"/>
      </w:pPr>
      <w:r>
        <w:t>2. Thorwald Bergquist (Folkpartiet, man)</w:t>
      </w:r>
    </w:p>
    <w:p>
      <w:r>
        <w:rPr>
          <w:b w:val="0"/>
        </w:rPr>
        <w:t>Herr talman! I den föreliggande motionen har hemställts, att riksdagen måtte i skrivelse till Kungl. Maj:t anhålla, att Kungl. Maj:t ville föranstalta om en allsidig utredning av frågan om de inom statskyrkogemenskapens ram existerande fria evangeliska samfundens rättsliga ställning och om behovet av en förbättrad lagstiftning rörande främmande trosbekännare. Första lagutskottets majoritet har ställt sig avvisande till motionärens hemställan och föreslagit, att motionen icke måtte föranleda någon riksdagens åtgärd.</w:t>
        <w:br/>
        <w:br/>
        <w:t>Vid första lagutskottets utlåtande är emellertid fogad en reservation, som omfattats av inte mindre än sju av utskottets ledamöter, vilka anslutit sig till motionärens hemställan och alltså föreslagit en skrivelse till Kungl. Maj:t 1 motionens syfte.</w:t>
        <w:br/>
        <w:br/>
        <w:t>Då första lagutskottets majoritet intagit denna negativa ståndpunkt, har</w:t>
        <w:br/>
        <w:br/>
        <w:t>majoriteten som skäl härför anfört. att förhållandena på detta område för närvarande äro tämligen goda, och att det alltså på den grund inte finns någon anledning att begära utredning i frågan. Vidare har majoriteten motiverat sin ståndpunkt därmed, att motionären inte förmått ange några riktlinjer för den begärda utredningen, och att inte heller vid utskottsbehandlingen framkommit några sådana riktlinjer, som skulle kunna följas vid en dylik utredning. Det är dessa omständigheter som föranlett majoriteten att ställa sig avvisande till förslaget.</w:t>
        <w:br/>
        <w:br/>
        <w:t>Vi som anslutit oss till reservationen ha emellertid funnit, att de synpunkter, som majoriteten anfört, inte äro utav den styrka att de bort föranleda ett avslag på motionen, utan att tvärtom de skäl, som tala för att man här skulle göra något, äro utav väsentlig betydelse, så att det verkligen härvidlag bör komma till stånd en utredning. Det är att märka, att det här är fråga om en mycket stor grupp av vårt lands medborgare. Enligt uppgifter, som ha lämnats oss av de frikyrkliga samfunden, är det här fråga om inte mindre än omkring 600,000 människor, vilkas ställning i visst hänseende skulle bli föremål för utredning. En tiondel av landets befolkning skulle alltså vara ansluten till frireligiösa samfund av ett eller annat slag. Det har också framhållits, att det här gäller mycket stora ekonomiska värden, att dessa frireligiösa samfund årligen insamla belopp, som röra sig omkring 10 miljoner kronor, och att dessa samfund äga mycket stora tillgångar i fastigheter, som röra sig om åtskilliga tiotal miljoner kronor.</w:t>
        <w:br/>
        <w:br/>
        <w:t>Redan den omständigheten att det här är fråga om en så stor del av vårt lands befolkning och om för denna så väsentliga spörsmål borde enligt min, mening ha föranlett första lagutskottets majoritet att ställa sig välvillig till motionen och alltså förorda en utredning om den rättsliga ställningen i detta fall. Ingen kan nämligen förneka — det gör inte heller utskottsmajoriteten — att det råder, kan man säga, en fullkomlig oklarhet på detta område. Vi ha överhuvud taget icke några som helst rättsregler om hur de fria, inom statskyrkan kvarstående samfundens ställning skall utformas. Det finns ingen som helst bestämmelse som säger, vad de olika fria samfunden ha för rättigheter och skyldigheter. Det är ett, kan man säga, fullkomligt obearbetat rättsområde det här gäller. Och då det här är fråga om ett rättsområde, inom vilket så många av vårt lands medborgare dväljas, tycker man, att det ligger fullkomligt i sakens natur och i tidsandan att man bör undersöka, hur detta område lämpligen bör regleras och ordnas. Utskottet har emellertid framhållit, att ingen kan säga, hur vi skola reglera det här området, och att ingen kan säga, vad vi egentligen härvidlag skola reglera, och vad det är för någonting, som skall utredas och undersökas. Med visst skäl kan man ju säga, att det inte framlagts några riktlinjer för den utredning, som är begärd här. Det är också naturligt, att det är ytterst svårt att framlägga några riktlinjer för ett arbete på detta fullkomligt obearbetade område. Men denna omständighet i och för sig behöver inte föranleda att man redan på förhand ger upp hoppet om att kunna komma till något resultat här, om man har den övertygelsen, nämligen, att man kan nå ett resultat.</w:t>
        <w:br/>
        <w:br/>
        <w:t>Man har inom utskottet ägnat mycket stor uppmärksamhet åt denna motion. Vi ha haft förmånen få höra en representant för de frireligiösa samfunden och en för statskyrkan, vilka framlagt de synpunkter, som man på skilda håll har på denna fråga. Vid denna utredning inom utskottet har man fått åtskillig klarhet om vilka problem det är som man bör ta upp till omprövning, låt vara att man inte fått någon klarhet i, hur dessa problem slutgiltigt skola lösas.</w:t>
        <w:br/>
        <w:br/>
        <w:t>Jag skall bara nämna några av de problem, som tränga sig fram till en lös-</w:t>
        <w:br/>
        <w:br/>
        <w:t>rättsliga ställning m. m. (Forts.) ning härvidlag. Det är t. ex. frågan om skattskyldighet för de fria religiösa samfunden. Därvidlag råder för närvarande en ganska stor förbistring. Det finns särskilda regler i fråga om de fria samfund, vilkas medlemmar utträtt ur statskyrkan, och som alltså begagnat dissenterlagens medgivande och direkt gått bort från statskyrkan. I fråga om dessa finnas särskilda regler både i vad det gäller den vanliga beskattningen till kyrkan och i fråga om arvsoch gåvobeskattningen. Men beträffande de samfund, som av ett eller annat skäl inte ansett sig böra utträda ur statskyrkan, finns det inte några som helst regler. Där bör det skapas en enhetlig ordning, ty för närvarande finns det inte någon sådan på detta område. Någon direkt anledning att i detta hänseende upprätthålla den skillnad, som för närvarande finns mellan sådana samfund, som utträtt ur statskyrkan, och sådana, som inte velat utträda ur statskyrkan, föreligger inte.</w:t>
        <w:br/>
        <w:br/>
        <w:t>Ett annat område, där en utredning bör komma till stånd, gäller de olika kyrkliga förrättningarna, alltså vigsel, begravning, dop och dylikt. Därvidlag råder också en viss oklarhet. De samfund som utträtt ur statskyrkan ha rätt att genom sina funktionärer med rättslig verkan företa vissa av dessa akter, men de som stå kvar inom statskyrkan ha inte några rättigheter i detta avseende. Här bör man också enligt min mening undersöka vad det är man bör göra, låt vara att det är mycket svårt att säga, vad som skall göras.</w:t>
        <w:br/>
        <w:br/>
        <w:t>Sedan ha vi frågan om religionsundervisningen och behörigheten till en hel del befattningar till vilka för närvarande är knutet det villkoret, att vederbörande skall tillhöra den rena evangeliska läran, d. v. s. statskyrkan. Därvidlag finnas en hel del bestämmelser — särskilt då i fråga om lärarna — som äro av delikat natur och i fråga om vilka man bör söka få till stånd en större enhetlighet än den som för närvarande finns.</w:t>
        <w:br/>
        <w:br/>
        <w:t>Vidare betyder det också mycket att man kan få klarhet i fråga om samfunden själva. Vi ha haft — det har väckt uppmärksamhet — under sista tiden rättegångar på grund av stridigheter mellan olika avdelningar eller riktningar inom de frireligiösa samfunden, om vilken riktning som har rätt att disponera t. ex. ett kapell eller en kyrka, som tillhör dem. Det finns för närvarande överhuvud taget icke några rättsregler, som klargöra detta, utan det hela är mycket svävande. Domstolarna försöka reda sig med s. k. allmänna rättsgrundsatser. Helt naturligt går det, men det leder till viss osäkerhet och bristande stadga på området. Här föreligger alltså ett helt komplex av frågor, som äro av mycket stor betydelse för dessa frireligiösa samfund. De äro av en så väsentlig betydelse, att de enligt mitt förmenande böra tagas upp till ett grundligt övervägande och en grundlig utredning. Man får icke, såsom utskottsmajoriteten gjort, säga, att detta område är så svårt, att ingen egentligen kan säga, vad man skall göra, och därför gör man ingenting, utan man bör i stället säga: detta område är mycket svårt, och vi kunna icke göra riktigt klart för oss vad som skall ske, men denna fråga har en så stor betydelse för stora grupper av vårt folk, att denna motion bör leda till ett positivt resultat samt en utredning sättas i gång om vad som kan göras. Främst med hänsyn till att denna fråga är av stor betydelse för en väsentlig del av vårt svenska folk, har jag anslutit mig till reservanterna och begär alltså, att kammaren måtte bifalla motionen i fråga.</w:t>
        <w:br/>
        <w:br/>
        <w:t>Med denna motivering, herr talman, ber jag att få hemställa om bifall till den vid detta utlåtande fogade reservationen.</w:t>
      </w:r>
    </w:p>
    <w:p>
      <w:pPr>
        <w:pStyle w:val="Heading2"/>
      </w:pPr>
      <w:r>
        <w:t>3. Axel Lindqvist (Socialdemokraterna, man)</w:t>
      </w:r>
    </w:p>
    <w:p>
      <w:r>
        <w:rPr>
          <w:b w:val="0"/>
        </w:rPr>
        <w:t xml:space="preserve">Herr talman! För min del hemställer jag om bifall till utskottets hemställan, d. v. s. om avslag på den av herr Mosesson väckta motionen, och för detta avslagsyrkande ber jag att få hänvisa bl. a. till den motivering, utskottet framfört för sitt yrkande. Av herr vice ordförandens yttrande här nyss framgick tydligt, att första lagutskottet är om en sak fullkomligt ense, nämligen att herr Mosessons motion är skriven på ett sådant sätt, att det icke är möjligt att vid läsning av densamma få fram, vad motionären vill vinna med sin hemställan om en utredning. Man behöver blott kasta en liten blick på den skrivna reservationen för att finna, huru svårt det varit för reservanterna att finna skäl för sitt förslag om skrivelse till Kungl. Maj:t. Vi bruka i alla utskott, och icke minst i första lagutskottet, när vi föreslå riksdagen att skriva till Kungl. Maj:t, ge några direktiv för utredningen, men det har icke varit möjligt att göra här. Det enda skäl av större värde, som rteservanterna framfört, är, att här beröres en så stor grupp av samhällsmedborgare, att man enbart därför bör tillmötesgå motionärens framställning. Ja, de frikyrkliga samfunden här i landet ha ett mycket stort medlemsantal, och tydligt är, att man skall taga hänsyn till medborgarnas önskningar, och detta särskilt, om man kan få klart för sig, att en grupp på över !/2 miljon medborgare slutit upp kring herr Mosessons motion om den begärda utredningen. För min del har jag dock icke blivit övertygad om att de krav, som herr Mosesson franrifört, omfattas av det frikyrkliga folket i allmänhet. Jag har ju icke haft tillfälle att så ingående studera denna sak, som önskvärt varit, men jag har ändå tittat litet i papperen och haft förmånen att tala med några kamrater i riksdagen, som tillhöra de frikyrkliga, och dessa samtal ha givit mig en sådan uppfattning, att jag vågar säga, att jag ändå icke är så säker på att 600,000 frikyrkliga män och </w:t>
      </w:r>
      <w:r>
        <w:rPr>
          <w:b/>
        </w:rPr>
        <w:t>kvinnor¹</w:t>
      </w:r>
      <w:r>
        <w:rPr>
          <w:b w:val="0"/>
        </w:rPr>
        <w:t xml:space="preserve"> sluta upp kring herr Mosessons motion.</w:t>
        <w:br/>
        <w:br/>
        <w:t>När jag nu sagt detta och utskottet motiverar sitt avslagsyrkande närmast med att motionen är så oklart skriven, bör det icke vara något felaktigt utan mycket riktigt att hänvisa till en del brottstycken ur herr Mosessons motion, och då kunna kammarens ledamöter själva bedöma, om ni tycka, att här föreligger tillräcklig klarhet i vad motionären åstundar. Motionären säger på ett ställe i sin motion: »Det har visat sig, att den demokratiska och kongregationalistiska styrelseform, som är allmän inom de fria samfunden, under enstaka förhållanden möjliggör uppenbar kränkning av den idé, som organisationen från början velat förverkliga, vadan en utredning av dessa samfunds rättsliga ställning gentemot stat och kyrka måhända borde omfatta minoritetens rätt inom en sådan församling.»</w:t>
        <w:br/>
        <w:br/>
        <w:t>»Med denna motion», säger herr Mosesson, »avser jag en utredning av de religiösa samfundsbildningar, som i sin principiella trosåskådning icke äro väsenskilda från de evangeliskt-lutherska.&gt; Jag för min del måste, när jag läser detta, fråga mig: Vad menar herr Mosesson särskilt med detta: »som i sin principiella trosåskådning icke äro väsenskilda från de evangeliskt-lutherska»? Det vill förefalla, som om även reservanterna haft svårt att förstå detta, och därför ha de skrivit sin kläm på ett annat sätt än motionären skrivit sin kläm. Så fortsätter motionären: »Det förefaller, som om en ny lagstiftning på hithörande område bör ta sikte på, icke blott, såsom fallet nu är, dissenters eller s. k. främmande trosbekännare, utan även på religiösa samfundsbildningar, som finnas och säkerligen alltid, så länge en statskyrka består, komma att finnas i landet: deras rättsliga ställning i staten, deras skyldighet att betala skatt till stat och kommun, om och under vilka förutsättningar pastorer inom nämnda samfund kunna få rätt att med laglig verkan förrätta vigsel, därest icke staten anser sig böra införa obligatoriskt civiläktenskap.&gt; Vad den se-</w:t>
        <w:br/>
        <w:br/>
        <w:t>rättsliga ställning m. m. (Forts.) nare saken beträffar, om obligatoriska civiläktenskap, så var den frågan uppe redan vid föregående riksdag och är för närvarande under behandling av ett tillfälligt utskott. Den saken kommer därför att prövas för sig själv och behöver icke prövas i detta sammanhang.</w:t>
        <w:br/>
        <w:br/>
        <w:t>När det talas om skyldigheten att betala skatt, fick man i herr Bergquists anförande den upplysningen, att därmed åsyftas dessa samfunds skyldighet att betala skatt, men av herr Mosessons motion får man icke fullt klart för sig, om motionären menar samfunden såsom sådana eller de enskilda individerna inom samfundet.</w:t>
        <w:br/>
        <w:br/>
        <w:t>Det är eljest mycket intressant att läsa herr Mosessons motion och även taga del av vad herr Mosesson tidigare skrivit i den fråga som här behandlas. Herr Mosesson säger på ett ställe i sin motion, att förhållandet mellan statsoch frikyrka är gott. De frikyrkliga, säger han, tillhöra i allmänhet statskyrkan. De vilja icke gå ut ur denna. De vilja icke med egna händer slita tungan ur sin mun. De vilja vara med i folkets rådslag och beslut, även när det gäller statskyrkan. Så erinrar motionären om att de frikyrkliga ha rätt till civiläktenskap. De ha rätt att jordfästa sina döda. De ha skattefrihet för sina gudstjänstlokaler, säger han, och de få ett allmänt välvilligt bemötande o. s. v. Herr Mosesson är sålunda icke någon hatisk man och uppträder här icke på något sätt hatiskt mot statskyrkan. Det förefaller, när man läser herr Mosesfons motion i år, som om denna förståelse för statskyrkan tillväxt under årens opp.</w:t>
        <w:br/>
        <w:br/>
        <w:t>Det har naturligtvis varit min skyldighet att titta något i det kommitté- betänkande, som avgavs år 1927 i frågan om vidgad rätt till utträde ur svenska kyrkan, och herr Mosesson hade då ett särskilt yttrande. Nu har Jag läst detta i samband med vad han yttrat i sin motion vid detta tillfälle, och även om jag skulle trötta kammarens ledamöter — jag hoppas, att det icke skall bli alltför mycket — måste jag, för att få det sammanhang, jag vill ha, citera något av herr Mosessons yttrande från år 1927. Då säger herr Mosesson på sid. 287: »Enligt min uppfattning måste i ett demokratiskt samhälle statskyrkodömet» — herr Mosesson, jag tycker, att detta uttryck stöter litet, men herr Mosesson tycker väl, att det låter vackert, och därför använder han det — »byggas på en sådan enhetlighet». om vilken han talat. Så säger han: »I ett autokratiskt samhälle vore ju icke någon sådan enhetlighet hos medborgarna nödvändig, ty härskarens religionsbruk kunde Ju bliva undersåtarnas. Vårt samhällsskick» säger han, »lär för framtiden bliva demokratiskt. Differentieringen på det personligt-religiösa livets område lär ock fortsätta. Alltså saknas numera bärande grund för statskyrkoformen.</w:t>
        <w:br/>
        <w:br/>
        <w:t xml:space="preserve">Att denna form icke redan störtats, beror såvitt jag förstår främst på osäkerheten om vad som skulle sättas i stället. Ohållbarheten i systemet inses dock av allt fler. Nu och då inträffar en händelse — +. ex. en utnämningsfråga, ett val eller en omröstning — som i blixtbelysning visar hur underminerad grunden är för den åldriga byggnaden och hur stora mursprickor </w:t>
      </w:r>
      <w:r>
        <w:rPr>
          <w:b/>
        </w:rPr>
        <w:t>hon²</w:t>
      </w:r>
      <w:r>
        <w:rPr>
          <w:b w:val="0"/>
        </w:rPr>
        <w:t xml:space="preserve"> har.</w:t>
        <w:br/>
        <w:br/>
        <w:t>Skall en katastrof ödelägga religiösa och kulturella värden, som kunna bärgas genom gudstro, vidsynthet och offervilja?» frågar han.</w:t>
        <w:br/>
        <w:br/>
        <w:t xml:space="preserve">»Svenska kyrkan», säger han, »har enligt min uppfattning allt att frukta av personer, som önska behålla kyrkan i statens händer för att nyttja </w:t>
      </w:r>
      <w:r>
        <w:rPr>
          <w:b/>
        </w:rPr>
        <w:t>henne²</w:t>
      </w:r>
      <w:r>
        <w:rPr>
          <w:b w:val="0"/>
        </w:rPr>
        <w:t xml:space="preserve"> såsom ett instrument för syften, som icke voro kyrkans herres.</w:t>
        <w:br/>
        <w:br/>
        <w:t>Vore Sveriges frikyrkliga medborgare oetiska och kyrkopolitiskt skadeglada, skulle de lugnt åse en kyrkans gastkramning. Ur ren konkurrenssynpunkt ha de förvisso mera att frukta av en fri och energisk folkkyrka än av en statsinstitution.</w:t>
        <w:br/>
        <w:br/>
        <w:t>Kristendom och kyrka skall 1 världen betyda bön, offer, kamp och frihet men ej ett av yttre lagar reglerat ämbetsverk med garanterad försörjning för sina tjänare och laghot för den medborgare, som ej vill bidraga till anstalten.</w:t>
        <w:br/>
        <w:br/>
        <w:t xml:space="preserve">Kyrkan skall ej ackommodera sig efter härskarviljan i staten. </w:t>
      </w:r>
      <w:r>
        <w:rPr>
          <w:b/>
        </w:rPr>
        <w:t>Hon²</w:t>
      </w:r>
      <w:r>
        <w:rPr>
          <w:b w:val="0"/>
        </w:rPr>
        <w:t xml:space="preserve"> borde vara ett lejon, icke en kameleont.»</w:t>
        <w:br/>
        <w:br/>
        <w:t>Ja, så skrev herr Mosesson 1927. Då är han en vän av frikyrkan och vill, att den skall ha största möjliga frihet, men nu vill herr Mosesson, att vi skola skriva till Kungl. Maj:t med begäran om en utredning, som sedan skall resultera i att vi få en lagstiftning, som reglerar dessa frikyrkliga samfund, hur de skola vara byggda, och hur de skola vara inordnade i staten. Jag har mycket svårt att förstå, hur detta skall kunna bli möjligt. Leder icke detta, herr Mosesson, om herr Mosesson får såsom han vill, med en reglering även av frikyrkan, till att vi få, låt oss säga, minst en andra statskyrka? Ty då finns det icke längre någon frikyrka, för vilken riksdagen skall stifta lagar, som säga, huru förhållandena skola vara ordnade inom densamma. Jag kan icke förstå annat än att man härmed tager ett stort steg från nu rådande förhållanden.</w:t>
        <w:br/>
        <w:br/>
        <w:t>Hade det funnits någon möjlighet att få klarhet i vad herr Mosesson och hans medmotionärer velat, skulle det säkerligen varit ett enhälligt första lagutskott för detta förslag. Ty vi ha verkligen försökt att göra, vad vi kunnat, och vi ha, såsom vår ärade vice ordförande säger, i utskottet haft representanter både för de frikyrkliga och för statskyrkan, vilka för oss framlagt sina synpunkter på detta spörsmål.</w:t>
        <w:br/>
        <w:br/>
        <w:t>Nu talade herr Bergquist här om huru svårt det i många fall är att ordna de rent ekonomiska angelägenheterna inom de frikyrkliga samfunden, särskilt när det gäller byggnader. Litet var ha vi läst i tidningarna om att förhållandena varit av icke önskvärd art. Här är ett område, där förhållandena icke äro sådana, som de borde vara, men vi vänta på att få dessa förhållanden reglerade, när vi få fram en lagstiftning om ideella föreningar. Arbetet på en sådan lagstiftning pågår ju för närvarande inom departementet. Det är emellertid icke blott för de frikyrkliga samfunden, som vi behöva en lagstiftning om ideella föreningar, utan den behövs även i andra fall. Vi ha således, även om vi konstaterat behovet av reglerande bestämmelser för ideella föreningar, funnit det icke vara av behovet påkallat att nu skriva till Kungl. Maj:t och begära en utredning härom.</w:t>
        <w:br/>
        <w:br/>
        <w:t>Så är det en annan sak, som vidrörts av motionären och som förut även berörts från denna talarstol, nämligen frågan om den s. k. dissenterlagen. Alla de av oss, som i en lagbok läst om denna lag, måste säga sig, att den lagen icke passar för vår tid. Den är för gammal. Det erkänns av alla, men vi behöva icke skriva till Kungl. Maj:t med begäran om en utredning av denna sak, ty efter den utredning i saken, som herr Mosesson deltagit i, föreligger ett förslag till revidering av dissenterlagen. Det enda, man skulle behöva göra, om man är intresserad av att få fram denna fråga, är en hemställan till Kungl. Maj:t att på nytt taga upp denna fråga till avgörande. Kungl. Maj:t har nämligen avskrivit detta ärende, detta av den anledningen, att det visat sig icke finnas så särskilt stort intresse för en ny dissenterlag. För min personliga del anser jag det önskvärt, att det blir en revidering av denna lag, och denna uppfattning har också utskottet för sin del givit uttryck åt. Vi ha således inom första lagutskottet försökt att göra vad vi kunnat av herr Mosessons motion. Jag kan icke finna annat än att vi i sak äro ense om att motionen är minst sagt oklar. Att vi likväl delat på oss i två nästan lika stora hälfter i utskottet, beror därpå, att de sju ledamöter, som herr Bergquist talat</w:t>
        <w:br/>
        <w:br/>
        <w:t>rättsliga ställning m. m. (Forts.) om, låtit känslorna tala mer än förnuftet, medan vi, som äro i majoritet i utskottet och lika högt värdera herr Mosesson, ha ansett, att även om det gäller herr Mosessons och hans 599,999 medkämpar, kunna vi ändock icke föreslå riksdagen en skrivelse, förrän motionären sagt vad han vill, så att vi få det klart för oss. Kom igen ett annat år med en motion, som klarlägger, vad ni egentligen vilja ha, så skola vi titta på den! Vi ha icke bundit oss i år, utan ha möjlighet att, om frågan ett annat år ligger till på annat sätt, då också gå in för en utredning. Nu har det emellertid visat sig omöjligt att göra detta.</w:t>
        <w:br/>
        <w:br/>
        <w:t>Jag hemställer, herr talman,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2153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