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2171</w:t>
      </w:r>
    </w:p>
    <w:p>
      <w:r>
        <w:rPr>
          <w:b/>
        </w:rPr>
        <w:t xml:space="preserve">Datum: </w:t>
      </w:r>
      <w:r>
        <w:t>1939-02-18</w:t>
      </w:r>
    </w:p>
    <w:p>
      <w:r>
        <w:rPr>
          <w:b/>
        </w:rPr>
        <w:t xml:space="preserve">Kammare: </w:t>
      </w:r>
      <w:r>
        <w:t>Andra kammaren</w:t>
      </w:r>
    </w:p>
    <w:p>
      <w:r>
        <w:rPr>
          <w:b/>
        </w:rPr>
        <w:t xml:space="preserve">Antal yttranden: </w:t>
      </w:r>
      <w:r>
        <w:t>9</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unknown (–, –)</w:t>
      </w:r>
    </w:p>
    <w:p>
      <w:r>
        <w:rPr>
          <w:b w:val="0"/>
        </w:rPr>
        <w:t xml:space="preserve">Överstiger </w:t>
      </w:r>
      <w:r>
        <w:rPr>
          <w:b/>
        </w:rPr>
        <w:t>moderns²</w:t>
      </w:r>
      <w:r>
        <w:rPr>
          <w:b w:val="0"/>
        </w:rPr>
        <w:t xml:space="preserve"> årsinkomst 800 kronor i ortsgrupp I, 1,000 kronor i ortsgrupp II och 1,200 kronor i ortsgrupp III, eller har modern, därest </w:t>
      </w:r>
      <w:r>
        <w:rPr>
          <w:b/>
        </w:rPr>
        <w:t>hon²</w:t>
      </w:r>
      <w:r>
        <w:rPr>
          <w:b w:val="0"/>
        </w:rPr>
        <w:t xml:space="preserve"> är gift, tillsammans med sin make en årsinkomst överstigande 1,100 kronor i ortsgrupp I, 1,325 kronor i ortsgrupp II och 1,550 kronor i ortsgrupp III, minskas bidragsförskottet med 0.7 av årsinkomsten i vad den överstiger sagda belopp. Hava makar som nyss sagts att försörja barn under 16 år, som icke är berättigat till vare sig barnbidrag enligt vad därom särskilt stadgas eller bidragsförskott, skall det för vederbörande ortsgrupp sist angivna inkomstbeloppet ökas med 100 kronor för varje sådant barn.</w:t>
        <w:br/>
        <w:br/>
        <w:t xml:space="preserve">Överstiger </w:t>
      </w:r>
      <w:r>
        <w:rPr>
          <w:b/>
        </w:rPr>
        <w:t>moderns²</w:t>
      </w:r>
      <w:r>
        <w:rPr>
          <w:b w:val="0"/>
        </w:rPr>
        <w:t xml:space="preserve"> eller den arbetsoförmögnes årsinkomst 800 kronor i ortsgrupp I, 1,000 kronor i ortsgrupp II, och 1,200 kronor i ortsgrupp III, eller har den arbetsoförmögne, därest han är gift, tillsammans med sin </w:t>
      </w:r>
      <w:r>
        <w:rPr>
          <w:b/>
        </w:rPr>
        <w:t>hustru²</w:t>
      </w:r>
      <w:r>
        <w:rPr>
          <w:b w:val="0"/>
        </w:rPr>
        <w:t xml:space="preserve"> en årsinkomst överstigande 1,100 kronor i ortsgrupp I, 1,325 kronor i ortsgrupp II och 1,550 kronor i ortsgrupp III, minskas barnbidraget med sju tiondelar av årsinkomsten, i vad den överstiger sagda belopp.</w:t>
      </w:r>
    </w:p>
    <w:p>
      <w:pPr>
        <w:pStyle w:val="Heading2"/>
      </w:pPr>
      <w:r>
        <w:t>2. Solveig Rönn Christiansson (Vänsterpartiet, woman)</w:t>
      </w:r>
    </w:p>
    <w:p>
      <w:r>
        <w:rPr>
          <w:b w:val="0"/>
        </w:rPr>
        <w:t xml:space="preserve">Herr talman! Tillkomsten av de båda lagar det här gäller måste betecknas såsom ett socialt framsteg. Meningen med dem är ju att bereda stöd åt </w:t>
      </w:r>
      <w:r>
        <w:rPr>
          <w:b/>
        </w:rPr>
        <w:t>mödrar²</w:t>
      </w:r>
      <w:r>
        <w:rPr>
          <w:b w:val="0"/>
        </w:rPr>
        <w:t xml:space="preserve"> och barn.</w:t>
        <w:br/>
        <w:br/>
        <w:t>I lagen om bidragsförskott stadgas, att staten till viss gräns skall övertaga ansvaret för försumliga fäders underhållsskyldighet, men man kan väl om denna lag säga, att den inte behöver medföra så betungande följder för statsbudgeten, alldenstund det finns möjlighet för staten att kräva dessa fäder på de utbetalade bidragsförskotten.</w:t>
        <w:br/>
        <w:br/>
        <w:t>Fastställandet av vederbörandes inkomst sker efter mycket olika beräkningsgrunder enligt de båda lagarna. När det gäller barnbidragen tar man den beräknade inkomsten men beträffande bidragsförskotten det senast till statlig inkomstoch förmögenhetsskatt taxerade beloppet. I det senare fallet tillkommer, att det stipulerats vilka belopp som få upptagas för fri kost och bo-</w:t>
        <w:br/>
        <w:br/>
        <w:t xml:space="preserve">stad. Enligt dessa bestämmelser för bidragsförskott kommer man till det resultatet, att exempelvis en fabriksarbeterska, som tillhör ortsgrupp 3 — vi kunna antaga att </w:t>
      </w:r>
      <w:r>
        <w:rPr>
          <w:b/>
        </w:rPr>
        <w:t>hon²</w:t>
      </w:r>
      <w:r>
        <w:rPr>
          <w:b w:val="0"/>
        </w:rPr>
        <w:t xml:space="preserve"> är bosatt här i Stockholm — och har en veckoavlöning av 28 kronor, varigenom </w:t>
      </w:r>
      <w:r>
        <w:rPr>
          <w:b/>
        </w:rPr>
        <w:t>hon²</w:t>
      </w:r>
      <w:r>
        <w:rPr>
          <w:b w:val="0"/>
        </w:rPr>
        <w:t xml:space="preserve"> kommer upp till den »svindlande» årsinkomsten av 1,456 kronor, har för hög inkomst för att kunna komma 1 åtnjutande av helt bidragsförskott. Jag tror inte att man behöver förfalla till att bli sentimental — de kyliga siffrorna tala sitt eget språk — men det är lätt att förstå, hurudan denna fabriksarbeterskas levnadsstandard måste vara. </w:t>
      </w:r>
      <w:r>
        <w:rPr>
          <w:b/>
        </w:rPr>
        <w:t>Hennes²</w:t>
      </w:r>
      <w:r>
        <w:rPr>
          <w:b w:val="0"/>
        </w:rPr>
        <w:t xml:space="preserve"> inkomst ligger ju under den gräns, som gäller för utbekommande av fattigvårdsunderstöd. Även om </w:t>
      </w:r>
      <w:r>
        <w:rPr>
          <w:b/>
        </w:rPr>
        <w:t>hembiträdena³</w:t>
      </w:r>
      <w:r>
        <w:rPr>
          <w:b w:val="0"/>
        </w:rPr>
        <w:t xml:space="preserve"> ha det svårt, så ha dock dessa </w:t>
      </w:r>
      <w:r>
        <w:rPr>
          <w:b/>
        </w:rPr>
        <w:t>fabriksarbeterskor³</w:t>
      </w:r>
      <w:r>
        <w:rPr>
          <w:b w:val="0"/>
        </w:rPr>
        <w:t xml:space="preserve"> det ändå svårare, då de på grund av denna beräkningsgrund inte kunna erhålla helt bidragsförskott.</w:t>
        <w:br/>
        <w:br/>
        <w:t xml:space="preserve">När det gäller </w:t>
      </w:r>
      <w:r>
        <w:rPr>
          <w:b/>
        </w:rPr>
        <w:t>moder²</w:t>
      </w:r>
      <w:r>
        <w:rPr>
          <w:b w:val="0"/>
        </w:rPr>
        <w:t>, som är gift, och hänsyn alltså ägs till båda makarnas inkomst, har man varit ännu blygsammare och satt inkomstgränsen ännu lägre.</w:t>
        <w:br/>
        <w:br/>
        <w:t xml:space="preserve">I fråga om barnbidragen kunna vi som exempel taga en </w:t>
      </w:r>
      <w:r>
        <w:rPr>
          <w:b/>
        </w:rPr>
        <w:t>kvinna¹</w:t>
      </w:r>
      <w:r>
        <w:rPr>
          <w:b w:val="0"/>
        </w:rPr>
        <w:t xml:space="preserve">, som tillhör ortsgrupp 1, där inkomsten, för att helt barnbidrag skall utgå, icke får överstiga 600 kronor. Kommer denna </w:t>
      </w:r>
      <w:r>
        <w:rPr>
          <w:b/>
        </w:rPr>
        <w:t>kvinna¹</w:t>
      </w:r>
      <w:r>
        <w:rPr>
          <w:b w:val="0"/>
        </w:rPr>
        <w:t xml:space="preserve"> upp till 800 kronors inkomst, kan </w:t>
      </w:r>
      <w:r>
        <w:rPr>
          <w:b/>
        </w:rPr>
        <w:t>hon²</w:t>
      </w:r>
      <w:r>
        <w:rPr>
          <w:b w:val="0"/>
        </w:rPr>
        <w:t xml:space="preserve"> inte få helt barnbidrag, fastän även här föreligger det sakförhållandet, att </w:t>
      </w:r>
      <w:r>
        <w:rPr>
          <w:b/>
        </w:rPr>
        <w:t>hennes²</w:t>
      </w:r>
      <w:r>
        <w:rPr>
          <w:b w:val="0"/>
        </w:rPr>
        <w:t xml:space="preserve"> levnadsstandard är minst sagt låg. Under sådana förhållanden leva tusentals av Sveriges fattiga </w:t>
      </w:r>
      <w:r>
        <w:rPr>
          <w:b/>
        </w:rPr>
        <w:t>mödrar²</w:t>
      </w:r>
      <w:r>
        <w:rPr>
          <w:b w:val="0"/>
        </w:rPr>
        <w:t>.</w:t>
        <w:br/>
        <w:br/>
        <w:t>Även när det gäller arbetsoförmögen gift man bör en höjning ske, så att den inkomst, som ej berättigar till bidrag, ligger inom det rimligas gränser. Det beräknas ju här, att två personer, t. ex. bosatta i Göteborg, skola kunna existera på en årlig inkomst av 1,350 kronor.</w:t>
        <w:br/>
        <w:br/>
        <w:t>Hurudana äro då de yrkanden, som vi framfört i våra motioner? Jo, de äro ytterst blygsamma. Vi ha begärt en höjning av inkomstgränsen med 200 kronor i varje ortsgrupp. Man skulle ju med skäl kunna anföra, att vi, eftersom vi komma med så blygsamma krav, tyckas ha utgått ifrån att de grundläggande beräkningsgrunderna äro väl avvägda, och jag vill därför på det starkaste poängtera, att vi anse, att varken de ursprungliga beloppen eller de av oss nu föreslagna utgöra inkomster, som människor kunna existera på. Men just blygsamheten hos vårt krav borde kunna göra, att vårt förslag accepterades.</w:t>
        <w:br/>
        <w:br/>
        <w:t>I tidningen Morgonbris” februarinummer finnes en ledande artikel, betitlad »Barnens offer för världens oro». Där framhålles, hurusom vårt stolta program för en radikal familjeoch barnavårdande socialpolitik nu måst uppgivas på grund av de ökade kraven på anslag till pansarbåtar och flyg. Äro vi verkligen redan, när dessa reformer nätt och jämnt ha hunnit påbörjas, komna till det stadiet, att barnen måste bringa detta offer, därför att vår militärbudget har ökat och våra resurser i övrigt äro uttömda? Man tycks på ledande håll böja sig för att den reformpaus, som signalerats, utsträckes även till detta område.</w:t>
        <w:br/>
        <w:br/>
        <w:t>Utskottet är mycket välvilligt och säger, att de av oss framförda spörsmålen otvivelaktigt äro av betydelsefull karaktär. Man anser dem dock icke så betydelsefulla, att våra förslag kunna accepteras. Utskottet presenterar de belopp, som för budgetåret 1939/40 anslagits för ifrågavarande ändamål, nämligen för bidragsförskott 4,800,000 kronor och till barnbidrag 14 miljoner kronor, och anser kanske, att dessa klumpsummor skola verka imponerande. Men jag vill framhålla, att de täcka inte det hjälpbehov, som här föreligger.</w:t>
        <w:br/>
        <w:br/>
        <w:t>Vidare anför utskottet, att en motion väckts här i kammaren av herr Näsström om statlig pension eller bidrag av statsmedel till änkor o. s. v. och att</w:t>
        <w:br/>
        <w:br/>
        <w:t>Slutligen hänvisar utskottet till socialvårdskommittén. Om jag inte missuppfattade den näst föregående talaren, täcker hans synpunkt på socialvårdskommitténs uppgift i detta sammanhang på ett utmärkt sätt vad jag själv anser, nämligen att man med hjälp av denna socialvårdskommitté söker hålla fast vid reformpausen. Jag tillåter mig fråga: kan man beräkna, att socialvårdskommittén exempelvis under loppet av tio år skall ha kommit med några positiva förslag i dessa frågor? Den långsamma tågordning, som gjort sig gällande vid stiftandet av lagar på detta område, gör den frågan berättigad.</w:t>
        <w:br/>
        <w:br/>
        <w:t>Även om de lagar det här gäller inte ha existerat så länge, äro dock bristerna så påtagliga, att man tycker, att det är överflödigt med vidare utredningar, och jag upprepar ännu en gång, att vårt krav är så blygsamt, att det borde ligga inom möjligheternas gräns att acceptera detsamma. Jag ber därför, herr talman, att få yrka bifall till motionerna.</w:t>
      </w:r>
    </w:p>
    <w:p>
      <w:pPr>
        <w:pStyle w:val="Heading2"/>
      </w:pPr>
      <w:r>
        <w:t>3. Kerstin Hesselgren (Folkpartiet, woman)</w:t>
      </w:r>
    </w:p>
    <w:p>
      <w:r>
        <w:rPr>
          <w:b w:val="0"/>
        </w:rPr>
        <w:t>Herr talman! Jag vill säga, att jag i hög grad sympatiserar med de synpunkter, som anföras i dessa motioner. Men även om vi kunna göra oss skyldiga till vad utskottet redan har blivit anklagat för, nämligen att försöka komma undan själva saken genom att hänvisa motionerna till socialvårdskommittén, så måste jag framhålla, att det här föreligger ett typiskt fall, där det bör ske.en utredning. Det är klart, att man inte alltid kan förutse, hur nya lagar, som äro byggda på vissa ekonomiska beräkningar, i detalj komma att verka. Man behöver tid på sig för att erfara verkningarna av sådana lagar och få material för väl grundade och motiverade rättelser.</w:t>
        <w:br/>
        <w:br/>
        <w:t>Utskottet erkänner ju, att de i motionerna framförda synpunkterna »otvivelaktigt äro av betydelsefull karaktär». Det är således inte utskottets mening att söka komma undan det ansvar för dessa frågor, som genom motionerna kan sägas ha lagts på utskottet. Utskottet har emellertid haft den känslan, att man ännu inte kommit så långt, när det gäller de praktiska verkningarna av dessa lagar, att man på rak arm kan bestämma sig för att höja eller sänka ett belopp, som man tidigare efter grundlig utredning slutligen stannat för.</w:t>
        <w:br/>
        <w:br/>
        <w:t>Jag hoppas, herr talman, att socialvårdskommittén ganska snart skall ha behandlat dessa frågor liksom även en hel rad andra ärenden, som hänskjutits till den, ty kommittén har ju rätt att komma med vissa detaljförslag, innan den framlägger sitt egentliga betänkande, och jag tycker, att dessa spörsföl av den karaktären, att de skulle kunna bli föremål för sådana detalj-</w:t>
        <w:br/>
        <w:br/>
        <w:t>Herr talman! Jag ber att få yrka bifall till utskottets hemställan.</w:t>
      </w:r>
    </w:p>
    <w:p>
      <w:pPr>
        <w:pStyle w:val="Heading2"/>
      </w:pPr>
      <w:r>
        <w:t>4. Arvid Olsson (Socialistiska partiet, man)</w:t>
      </w:r>
    </w:p>
    <w:p>
      <w:r>
        <w:rPr>
          <w:b w:val="0"/>
        </w:rPr>
        <w:t xml:space="preserve">Herr talman! Vi ha ju här i riksdagen vid flera tillfällen diskuterat frågan om barnbidrag, </w:t>
      </w:r>
      <w:r>
        <w:rPr>
          <w:b/>
        </w:rPr>
        <w:t>mödrahjälp²</w:t>
      </w:r>
      <w:r>
        <w:rPr>
          <w:b w:val="0"/>
        </w:rPr>
        <w:t xml:space="preserve"> och dyrortsgraderade folkpensioner, och vid ett tillfälle — jag vill minnas det var vid näst föregående riksdag — var det endast ett par röster, som avgjorde, att det inte beslöts en skrivelse till Kungl. Maj:t i dessa angelägenheter.</w:t>
        <w:br/>
        <w:br/>
        <w:t>Jag tror inte, att en höjning av inkomstgränsen i stort sett skulle spela stor roll annat än på vissa platser i landsorten där man ju har billiga bostäder och låga levnadsomkostnader i övrigt. Men när det gäller dyrorterna Stockholm, Göteborg och Malmö samt en del kommuner i övre Norrland, vilka fördes till en särskild grupp då man gick med på de dyrortsgraderade folkpensionerna, måste man taga med i beräkningen de höga levnadsomkostnadernas</w:t>
        <w:br/>
        <w:br/>
        <w:t xml:space="preserve">inverkan på </w:t>
      </w:r>
      <w:r>
        <w:rPr>
          <w:b/>
        </w:rPr>
        <w:t>mödrahjälpen²</w:t>
      </w:r>
      <w:r>
        <w:rPr>
          <w:b w:val="0"/>
        </w:rPr>
        <w:t xml:space="preserve"> och barnbidragen. Här i Stockholm ha vi gjort den erfarenheten, att i mycket stor utsträckning de av riksdagen beslutade barnbidragen och </w:t>
      </w:r>
      <w:r>
        <w:rPr>
          <w:b/>
        </w:rPr>
        <w:t>mödrahjälpen²</w:t>
      </w:r>
      <w:r>
        <w:rPr>
          <w:b w:val="0"/>
        </w:rPr>
        <w:t xml:space="preserve"> liksom även tillägget till folkpensionerna icke komma dem till del, som behöva denna hjälp, ty fattigvårdsmyndigheterna ta hand om pengarna och de hjälpbehövande få klara sig på ungefär samma inkomst, som tidigare. Riksdagens beslut i dessa tre viktiga sociala spörsmål, barnbidrag, </w:t>
      </w:r>
      <w:r>
        <w:rPr>
          <w:b/>
        </w:rPr>
        <w:t>mödrahjälp²</w:t>
      </w:r>
      <w:r>
        <w:rPr>
          <w:b w:val="0"/>
        </w:rPr>
        <w:t xml:space="preserve"> och dyrortsgraderade folkpensioner, ha således inte kommit dem tillgodo, som framför allt äro i behov av hjälp. Vad som härvidlag är viktigt är att det sker en justering av fattigvårdslagen, ty det är enligt denna som man i kommunerna prövar hjälpbehovet i varje särskilt fall, och så länge de nuvarande bestämmelserna finnas, är det uppenbart att varken barnbidrag, </w:t>
      </w:r>
      <w:r>
        <w:rPr>
          <w:b/>
        </w:rPr>
        <w:t>mödrahjälp²</w:t>
      </w:r>
      <w:r>
        <w:rPr>
          <w:b w:val="0"/>
        </w:rPr>
        <w:t xml:space="preserve"> eller dyrortsgradering av folkpensionerna kommer att ha någon större betydelse för de hjälpbehövande.</w:t>
        <w:br/>
        <w:br/>
        <w:t xml:space="preserve">Jag skulle således önska, att den socialvårdskommitté, som nu arbetar, särskilt ville ägna denna sak sin uppmärksamhet. Avgifterna till denna socialvårdande verksamhet beräknas ju proportionellt för alla inkomsttagare, oavsett var de äro bosatta. Det betyder sålunda ingenting, om man bor i Stockholm eller i en liten landsortskommun med billiga omkostnader. Om man taxerar för ett visst belopp, får man betala en likartad avgift för detta. Men utslaget av denna socialvårdande verksamhet blir högst olika. Där uppstår sålunda det förhållandet, att en liten kommuns skattebetalare kunna få betala — jag vågar säga det, fast jag själv är stadsfullmäktig i Stockholm — omkostnaderna till Stockholms stads fattigvård. Det är ett förhållande, som ändå icke är riktigt, allra minst då de, som skola hava hjälpen, ej erhålla denna hjälp. Därför är det nödvändigt att hela detta spörsmål blir föremål för en grundlig omprövning. Då nu denna socialvårdande kommitté, som fått saken om hand, också skall taga upp dessa spörsmål, önskar jag, herr talman, att både frågorna om barnbidragen, </w:t>
      </w:r>
      <w:r>
        <w:rPr>
          <w:b/>
        </w:rPr>
        <w:t>mödrahjälpen²</w:t>
      </w:r>
      <w:r>
        <w:rPr>
          <w:b w:val="0"/>
        </w:rPr>
        <w:t xml:space="preserve"> och folkpensioneringen, vad gäller den dyrortsgraderade folkpensioneringen, få bli föremål för en allsidig och opartisk omprövning i sin helhet.</w:t>
      </w:r>
    </w:p>
    <w:p>
      <w:pPr>
        <w:pStyle w:val="Heading2"/>
      </w:pPr>
      <w:r>
        <w:t>5. Axel Nordström (Vänsterpartiet, man)</w:t>
      </w:r>
    </w:p>
    <w:p>
      <w:r>
        <w:rPr>
          <w:b w:val="0"/>
        </w:rPr>
        <w:t>Herr talman! Den fråga, som jag här har fäst riksdagens uppmärksamhet på, är ju tämligen utdiskuterad och tröskad här i riksdagen. Men jag tvingas på grund av det utlåtande, som utskottet i dag förelagt, att något erinra om de tankegångar, som hörts här i riksdagen, när det gällt frågan om folkpensioneringen och fattigvårdsbidragen.</w:t>
        <w:br/>
        <w:br/>
        <w:t>Jag vill för det första erinra om den stora kampanj, som fördes 1936 i vårt land, när man talade om våra gamlingar och att man skulle genomföra en folkpensioneringslag, som skulle förbättra de gamlas ekonomiska läge. Jag vill särskilt kraftigt understryka, att man avsåg med folkpensioneringsreformen att förbättra de gamlas läge. Jag vill också referera vad dåvarande socialministern Möller sade vid både 1935 och 1937 års riksdagar, att en folkpensioneringsreform helt naturligt måste avse att åstadkomma en standardförbättring för de gamla.</w:t>
        <w:br/>
        <w:br/>
        <w:t>I en hel massa av kommunerna i vårt land har denna standardförbättring uteblivit. Det är den direkta anledningen till att vi här väckt en motion till riksdagen med begäran om att riksdagen skulle tillse att andemeningen i folkpensionslagen, så som riksdagen avsåg, verkligen genomfördes på ett sådant sätt, att den avsedda förbättringen verkligen komme de gamla till del. Jag menar, att fattigvårdsmyndigheterna icke skola få äta upp den förbättring, som riksdagen avsåg att giva de gamla. För närvarande är det faktiskt så, att en hel rad fattigvårdsmyndigheter i vårt land lagt beslag på de förbättringar,</w:t>
        <w:br/>
        <w:br/>
        <w:t>Ang. sambandet mellan folkpension och fattigvård. (Forts.) som — om jag skall tro riksdagens ord — tidigare avsetts skola tillfalla de gamla. Jag vill därmed ej hava sagt, att alla kommuner göra så. Det finnes också en del kommuner, där folkpensionsförbättringarna verkligen kommit de gamla till del, men i mycket stor utsträckning ha kommunerna tagit huvudparten och nyttan av denna folkpensioneringsreform.</w:t>
        <w:br/>
        <w:br/>
        <w:t>I förevarande utlåtande erinrar också utskottet om departementschefen statsrådet Möllers yttrande vid 1935 års riksdag, när han säger: »En obligatorisk folkpensionering bör rimligen syfta till att bespara oförvitliga medborgare med ingen eller obetydlig inkomst förödmjukelsen att på ålderns dagar falla fattigvården till last eller för sin försörjning bliva beroende av anhörigas bistånd.»</w:t>
        <w:br/>
        <w:br/>
        <w:t xml:space="preserve">Om man ställer frågan, huruvida gamla utslitna arbetare och </w:t>
      </w:r>
      <w:r>
        <w:rPr>
          <w:b/>
        </w:rPr>
        <w:t>arbeterskor³</w:t>
      </w:r>
      <w:r>
        <w:rPr>
          <w:b w:val="0"/>
        </w:rPr>
        <w:t xml:space="preserve"> hellre taga emot låt mig säga 600 kronor om året, om det kallas för fattigvård, eller avstå från 600 kronor om året för att taga emot 400 kronor 1 folkpension -— jag nämner dessa siffror bara för exemplets skull och ni torde förstå vad Jag menar — så tror jag ej, att de gamla ha en sådan panisk förskräckelse för fattigvårdsstämpeln, att de bara för den skull avstå från en ekonomiskt säkrare existens. Jag tror, att förutsättningen för att man verkligen skulle giva de gamla en bättre existens är alltjämt avhängig av huruvida de lokala myndigheterna visa sig tillmötesgående och bisträcka med medel utöver de otillräckliga belopp, som man får genom folkpensionen.</w:t>
        <w:br/>
        <w:br/>
        <w:t>Det egendomliga med riksdagens tidigare uttalanden och även med andra lagutskottets utlåtande av i dag är dess släktskap med kameleonten. Man kan begagna detta utlåtande liksom ett tidigare till vilket påstående som helst. Vilken sorts fattigvårdsmyndighet som helst kan stödja sig på detsamma, både den, som vill hålla inne med understöden, alltså giva kort och gott vad den fattige fått i pension, eller den, som vill giva ett handtag därutöver till pensionärerna. Båda dessa fattigvårdsmyndigheter kunna stödja sig på utskottets utlåtanden.</w:t>
        <w:br/>
        <w:br/>
        <w:t>Det är just på det sättet att en hel rad av våra fattigvårdsmyndigheter stödja sig på andra lagutskottets utlåtande vid 1937 års riksdag, där man säger: »Huvudsyftet med folkpensioneringens reformering är att tillskapa en sådan ordning, att pensionstagarna i så stor utsträckning som möjligt — helt torde det på grund av flera olika omständigheter icke låta sig göra —— befrias från tvånget att för sin försörjning anlita fattigvården. I den mån de nya pensionsheloppen kunna anses tillfredsställande ur försörjningssynpunkt — — — torde därför tidigare eventuellt åtnjuten fattigvård böra upphöra.»</w:t>
        <w:br/>
        <w:br/>
        <w:t>Alltså, här ha just de fattigvårdsmyndigheter, som icke vilja vara med om någon standardförbättring, att stödja sig på denna del av utskottets utlåtande. De ha här ett stöd i utskottet, när de icke vilja vara med om någon standardförbättring utan mena, att fattigvården skall upphöra i och med att folkpensionen kommer.</w:t>
        <w:br/>
        <w:br/>
        <w:t>Däremot ha de fattigvårdsmyndigheter — ett fåtal tyvärr — som lagt mera humanitära synpunkter på dessa problem och som alltså vilja vara med om att giva de gamla en standardförbättring, också kunnat stödja sig på samma utlåtande endast några rader längre ned.</w:t>
        <w:br/>
        <w:br/>
        <w:t>Denna tvetydighet måste helt naturligt uppamma godtycke hos myndigheterna. Man har satt godtycket i system. Man har från riksdagens sida uppmanat fattigvårdsmyndigheterna till godtycke. Jag anser att man borde göra slut på denna godtycklighet. Det är för den skull vi i vår motion yrkat, att riksdagen skulle göra klara formuleringar, så att den förbättring, som man en gång 1 tiden talade om, verkligen skulle komma de gamla till del.</w:t>
        <w:br/>
        <w:br/>
        <w:t>Andra lagutskottet har i år bara understrukit dessa tidigare utlåtanden.</w:t>
        <w:br/>
        <w:br/>
        <w:t>Till yttermera visso säger det: »Utskottet finner ej anledning frångå den mening, som därvid kom till uttryck. Utskottet vill emellertid understryka vikten av att denna mening i de särskilda fallen röner vederbörligt beaktande.»</w:t>
        <w:br/>
        <w:br/>
        <w:t>Man understryker, att denna mening skall vinna vederbörligt beaktande ute i kommunerna. Men jag hade velat, att andra lagutskottet givit ett klart besked, vilken av de två meningarna i utlåtandet det är, som man vill skall vinna beaktande ute i kommunerna. Jag har själv flerfaldiga gånger talat vid fattigvårdsmyndigheter i landet och vet, att de olika fattigvårdsmyndigheterna stödja sig på olika delar av utskottets utlåtande.</w:t>
        <w:br/>
        <w:br/>
        <w:t>Jag skulle önskat, att riksdagen i år verkligen sett till att just denna godtyckliga tolkning av utskottets utlåtande förhindras.</w:t>
        <w:br/>
        <w:br/>
        <w:t>Herr talman! I denna fråga lika väl som i en rad andra frågor, som varit uppe till behandling i dag, har man hoppats mycket på socialvårdskommittén och dess arbete, när den skall taga de här frågorna under övervägande. Jag har naturligtvis för mitt vidkommande ingenting emot, att socialvårdskommittén grundligt undersöker och utreder dessa problem. Men det börjar på att förefalla som om man vill begagna socialvårdskommittén till att stoppa upp alla reformer, till och med genomförandet och tillämpningen av sådana reformer, som tidigare beslutats av riksdagen. WSocialvårdskommittén synes vara det medel med vilket man indirekt vill genomföra reformpausen, som man kanske icke anser opportunt att vidare fasthålla vid direkt. Därför går man denna omväg och får reformpausen till stånd i alla fall via socialvårdskommittén.</w:t>
        <w:br/>
        <w:br/>
        <w:t>Herr talman! Jag anser, att det är riksdagens plikt att uttala en bestämd mening, så att fattigvårdsmyndigheterna verkligen veta vad de skola rätta sig efter och så att det verkligen kan bli enhetliga linjer i dessa frågor. Därför, herr talman, ber jag att få yrka bifall till den motion, som jag har väckt i denna fråga.</w:t>
      </w:r>
    </w:p>
    <w:p>
      <w:pPr>
        <w:pStyle w:val="Heading2"/>
      </w:pPr>
      <w:r>
        <w:t>6. Kerstin Hesselgren (Folkpartiet, woman)</w:t>
      </w:r>
    </w:p>
    <w:p>
      <w:r>
        <w:rPr>
          <w:b w:val="0"/>
        </w:rPr>
        <w:t>Herr talman! Jag tror att man kan säga, att vår folkpensionering kommit till mycket stor välsignelse för stora delar av vårt folk — mera kanske än man skulle tro, när man ser de små summor, som pensionärerna faktiskt få. Men det har från första stund varit en mycket stor svårighet i vårt system, den, att man fått lov att bygga på behovsprincipen. Man har fått lov att i själva folkpensioneringen gå in för en behovsprövning, en fattigvårdsprövning. Det är alldeles klart att i och med detsamma som man är inne på den vägen, är det mycket svårt att få klara linjer mellan fattigvård och folkpensionering. Det har känts under det förra systemet och det har känts även under denna nya och reformerade folkpensionering.</w:t>
        <w:br/>
        <w:br/>
        <w:t>Jag vet ju, att den kommitté, som under många år arbetade med folkpensioneringen, var starkt inbegripen i tanken, att man skulle kunna koppla av denna likhet med fattigvården, denna behovsprövning. Men det visade sig alldeles omöjligt, ifall man skulle kunna komma till något så när hyggliga belopp för dem, som verkligen behövde pension. Det är detta förhållande, som gjort, att man nu, när man för andra gången kommit fram med ett pensionsförslag, står inför den situationen, att det fortfarande är svårt att draga gränsen mellan fattigvård och pension. Detta är, såvitt jag förstår, anledningen till tillsättandet av socialförsäkringskommittén.</w:t>
        <w:br/>
        <w:br/>
        <w:t>Det är litet olyckligt just i dag, att jag vid det ena utlåtandet efter det andra får lov att försvara, att utskottet skickat motionen i fråga på socialförsäkringskommittén. Men det har inom utskottet hopats ärenden, som ligga varandra snubblande nära. Och eftersom de alla röra sig kring frågan, hur man skall klara upp liknande förhållanden, hur man skall få bästa möjliga</w:t>
        <w:br/>
        <w:br/>
        <w:t>Ang. sambandet mellan folkpension och fattigvård. (Forts.) bidrag till dem, som behöva det, hur man skall reda upp situationen mellan folkpensionering och fattigvård etc., finnes det ingen annan hjälp än att dessa saker måste undersökas av denna kommitté. Jag hoppas lika livligt som den föregående talaren och flera tidigare talare, att kommittén skall arbeta snabbt med vad den har att göra. Ty klart är, att varje år, som går i onödan utan att saken regleras, fara enskilda människor illa på detta sakernas tillstånd.</w:t>
        <w:br/>
        <w:br/>
        <w:t>Nu har den siste ärade talaren ganska skarpt understrukit, att han icke tycker.att utskottet och därmed icke heller riksdagen uttalat sig tydligt nog. Nåja, om man behöver en kommitté för att undersöka vad man icke lyckats vid föregående framlägganden av förslag få riktigt klara linjer uti, så är det icke så förfärligt lätt, herr Nordström, för ett utskott att komma med alldeles klara linjer. Jag hoppas, att denna märkvärdiga kommitté en gång skall komma till klara linjer och att detta »en gång» icke skall dröja för länge utan bli ganska snart.</w:t>
        <w:br/>
        <w:br/>
        <w:t>Ad dessa ord ber jag, herr talman, att få yrka bifall till utskottets hemställan.</w:t>
      </w:r>
    </w:p>
    <w:p>
      <w:pPr>
        <w:pStyle w:val="Heading2"/>
      </w:pPr>
      <w:r>
        <w:t>7. Anders Paulsen (Socialdemokraterna, man)</w:t>
      </w:r>
    </w:p>
    <w:p>
      <w:r>
        <w:rPr>
          <w:b w:val="0"/>
        </w:rPr>
        <w:t xml:space="preserve">Herr talman! Då folkpensionerna höjdes, var det den bestämda meningen hos riksdagen, att dessa höjda folkpensioner skulle komma fattiga människor till godo, som behövde dem. Men hur har det blivit för de människor, som ha understöd av fattigvården? Är det en generös fattigvårdsstyrelse ha de fått behålla det. Är det en snål fattigvårdsstyrelse ha de kanske 1 en del fall fått behålla något litet, men i andra fall ha de icke fått något alls. Tro herrarna och </w:t>
      </w:r>
      <w:r>
        <w:rPr>
          <w:b/>
        </w:rPr>
        <w:t>damerna²</w:t>
      </w:r>
      <w:r>
        <w:rPr>
          <w:b w:val="0"/>
        </w:rPr>
        <w:t>, att de människor, som skola ha dessa folkpensioner, kunna förstå alla finesser som utskottet kommer med och allt tal om kommittéer och allt möjligt? Nej, de tänka: Var i all världen blev det av pengarna? Vi veta ju, att riksdagen beslutat, att de skulle användas till de fattiga. Riksdagens beslut har det ju talats om och skrivits i tidningarna om. Men vi fingo icke mer för det.</w:t>
        <w:br/>
        <w:br/>
        <w:t>Vore det icke riktigt, att riksdagen sade klart och tydligt, att avsikten med folkpensionernas höjning var att de människor, som skola ha dem, också skola ha nytta av dem, och icke att kommunerna skola bestjäla de fattiga på denna förhöjning? Jag tycker, att det är riktigt, att riksdagen sade ifrån om den saken. Hade utskottet skrivit på det sättet, så hade det skrivit som det borde ha skrivit, och något resonemang härom hade inte mer behövts.</w:t>
      </w:r>
    </w:p>
    <w:p>
      <w:pPr>
        <w:pStyle w:val="Heading2"/>
      </w:pPr>
      <w:r>
        <w:t>8. Emil Olovson (Socialdemokraterna, man)</w:t>
      </w:r>
    </w:p>
    <w:p>
      <w:r>
        <w:rPr>
          <w:b w:val="0"/>
        </w:rPr>
        <w:t>Herr talman! Jag kan icke undgå att fästa kammarens uppmärksamhet på ett förhållande, som åtminstone några av kammarens ledamöter totalt förbisett. Andra lagutskottet har haft att behandla ett helt knippe motioner, som rört just de sociala spörsmål, som socialvårdskommittén fått i uppdrag att utreda. Det har gällt frågan om blindhetsersättning, som behandlats här för några dagar sedan. Det har varit fråga om barnbidragen, bidragsförskotten, rätt till barnbidrag för trolovningsbarn, sambandet mellan folkpensioner och fattigvård. Det har strängt taget gällt hela det program, som socialvårdskommittén fått sig förelagt att utreda. De reformer, som blivit genomförda under de senare åren och berört detta område, voro trängande nödvändiga. Det fick, som alla väl känna till, lagstiftas i all hast. Det blev både här och där ojämnheter, som framträdde, när dessa lagar kommo 1 tillämpning. Jag är en av dem här i kammaren, som haft rikliga tillfällen att bilda sig en uppfattning angående dessa ojimnheter, och jag tror mig i stånd att leverera en kritik, långt starkare än den, som här redan framförts. Som ett exempel kan jag nämna, att min kamrat närmast bakom mig här på bänken och jag någon av dagarna före jul kallades ut till en västman-</w:t>
        <w:br/>
        <w:br/>
        <w:t xml:space="preserve">Ang. sambandet mellan folkpension och fattigvård. (Forts.) ländsk socken, där man hade tillämpat lagarna på det sätt, herr Paulsen nyss talade om. Fattigvårdsstyrelsen i socknen hade utan vidare lagt beslag på en </w:t>
      </w:r>
      <w:r>
        <w:rPr>
          <w:b/>
        </w:rPr>
        <w:t>änkas²</w:t>
      </w:r>
      <w:r>
        <w:rPr>
          <w:b w:val="0"/>
        </w:rPr>
        <w:t xml:space="preserve"> pension till sista öret. </w:t>
      </w:r>
      <w:r>
        <w:rPr>
          <w:b/>
        </w:rPr>
        <w:t>Änkan²</w:t>
      </w:r>
      <w:r>
        <w:rPr>
          <w:b w:val="0"/>
        </w:rPr>
        <w:t xml:space="preserve"> var fyrtiotvå år gammal, lungsjuk och hade i stugan tre barn, av vilka det äldsta, fjorton år gammalt, tillsammans med </w:t>
      </w:r>
      <w:r>
        <w:rPr>
          <w:b/>
        </w:rPr>
        <w:t>henne²</w:t>
      </w:r>
      <w:r>
        <w:rPr>
          <w:b w:val="0"/>
        </w:rPr>
        <w:t xml:space="preserve"> vårdats på sanatorium. När denna </w:t>
      </w:r>
      <w:r>
        <w:rPr>
          <w:b/>
        </w:rPr>
        <w:t>änka²</w:t>
      </w:r>
      <w:r>
        <w:rPr>
          <w:b w:val="0"/>
        </w:rPr>
        <w:t xml:space="preserve"> tilldelades folkpension, så infann sig fattigvårdsstyrelsens ordförande hos pensionsnämndens ordförande, lade olagligen beslag på </w:t>
      </w:r>
      <w:r>
        <w:rPr>
          <w:b/>
        </w:rPr>
        <w:t>änkans²</w:t>
      </w:r>
      <w:r>
        <w:rPr>
          <w:b w:val="0"/>
        </w:rPr>
        <w:t xml:space="preserve"> pensionsbok samt gick därefter till </w:t>
      </w:r>
      <w:r>
        <w:rPr>
          <w:b/>
        </w:rPr>
        <w:t>henne²</w:t>
      </w:r>
      <w:r>
        <w:rPr>
          <w:b w:val="0"/>
        </w:rPr>
        <w:t xml:space="preserve"> och fick </w:t>
      </w:r>
      <w:r>
        <w:rPr>
          <w:b/>
        </w:rPr>
        <w:t>henne²</w:t>
      </w:r>
      <w:r>
        <w:rPr>
          <w:b w:val="0"/>
        </w:rPr>
        <w:t xml:space="preserve"> att kvittera pensionen. Sedan gick han själv till poststationen, hämtade pensionen och lämnade boken kvar på posten, där </w:t>
      </w:r>
      <w:r>
        <w:rPr>
          <w:b/>
        </w:rPr>
        <w:t>änkan²</w:t>
      </w:r>
      <w:r>
        <w:rPr>
          <w:b w:val="0"/>
        </w:rPr>
        <w:t xml:space="preserve"> fick hämta den någon av dagarna före jul. Ordföranden i fattigvårdsstyrelsen hade således olagligen pantat pensionen för fattigvårdsunderstöd. Min kamrat här 1 kammaren och jag foro till platsen, och det dröjde icke så värst många timmar förrän </w:t>
      </w:r>
      <w:r>
        <w:rPr>
          <w:b/>
        </w:rPr>
        <w:t>änkans²</w:t>
      </w:r>
      <w:r>
        <w:rPr>
          <w:b w:val="0"/>
        </w:rPr>
        <w:t xml:space="preserve"> pension låg på </w:t>
      </w:r>
      <w:r>
        <w:rPr>
          <w:b/>
        </w:rPr>
        <w:t>änkans²</w:t>
      </w:r>
      <w:r>
        <w:rPr>
          <w:b w:val="0"/>
        </w:rPr>
        <w:t xml:space="preserve"> bord till sista öret.</w:t>
        <w:br/>
        <w:br/>
        <w:t>Det är så sant som det är sagt, att folkpensioneringens omläggning icke kommit att medföra den standardhöjning, som vi hoppats på och drömt om. Men det är icke pensionslagens fel, utan felet ligger däri, att fattigvårdsstyrelserna på sina håll förbisett, att 1918 års fattigvårdslag alltjämt gäller i sin fulla utsträckning vid sidan av pensionsförsäkringslagen. 1918 års fattigvårdslag medger en standardhöjning. I fattigvårdslagen fastställes icke någon bestämd standard för de människor, som behöva understöd. Det står varje fattigvårdsstyrelse fritt att höja standarden. När folkpensionen icke räcker, måste fattigvårdsstyrelsen skjuta till, och det blir fattigvårdsstyrelsens sak att pröva, huru stort understödsbelopp som skall lämnas. Det är på den punkten man här enligt min mening syndat och syndat svårt. Det finns ojämnheter på detta område liksom överallt annorstädes, men vi avskaffa icke ojämnheterna genom att lagstifta fullständigt i blindo. Därigenom tillskapas blott ytterligare ojämnheter. Häromdagen var det fråga om att höja standarden för en grupp av människor, som behövde hjälp, långt över den standard en annan grupp av i lika hög grad hjälpbehövande personer intog. I dag föreligger ett förslag om att höja standarden för dem av de behövande, som ha det bäst, och lämna dem, som ha det sämst, utanför. Vi komma dit så småningom.</w:t>
        <w:br/>
        <w:br/>
        <w:t>Jag önskar fästa kammarens uppmärksamhet på att vi, som haft att behandla alla dessa motioner i ett sammanhang, icke kunnat giva oss in på att gå motionärernas vägar och göra den sista villan värre än den första. Vi ha måst säga oss, att det är ett omfattande och svårt arbete att åstadkomma en utjämning inom hela socialvårdsväsendet. Det kan man icke göra i en handvändning, men vi kunna trösta oss därmed, att i socialvårdskommitténs direktiv föreskrives, att kommittén icke behöver komma med alla sina förslag 1 ett sammanhang, utan allteftersom linjerna klarna kan kommittén komma fram med sina förslag i utjämningssyfte. Det är detta vi hava att lita till. Jag skulle till herr Nordström i Kramfors vilja säga, att det naturligtvis icke går att komma fortare fram genom att skriva till Kungl. Maj:t en gång till. Herr Nordström i Kramfors har i sin motion framställt ett yrkande, som i själva verket knappast har samband med tillämpningsföreskrifterna rörande folkpensioneringen. Han borde hava motionerat om ändring av fattigvårdslagen i stället, ty det är där det hakar upp sig. Han vill förbjuda fattigvårdsmyndigheterna att godtyckligt minska aventuellt utgående hemunderstöd. Man kan icke gärna giva sig på att på rak arm upphäva fattigvårdsstyrelsernas prövningsrätt och för understödstagarna fastslå en standard, som icke får rubbas. Det är ju fullkomligt otänkbart. Om någon av hela detta knippe motioner med nödvändighet måste överlämnas till övervägande inom socialvårdskommittén, så är det denna, ty en av de viktigaste uppgifter, socialvårdskommittén har att fylla, är uppgiften att söka skapa en sådan ordning, att</w:t>
        <w:br/>
        <w:br/>
        <w:t>Herr talman, jag hemställer om bifall till utskottets förslag.</w:t>
      </w:r>
    </w:p>
    <w:p>
      <w:pPr>
        <w:pStyle w:val="Heading2"/>
      </w:pPr>
      <w:r>
        <w:t>9. Arvid Olsson (Socialistiska partiet, man)</w:t>
      </w:r>
    </w:p>
    <w:p>
      <w:r>
        <w:rPr>
          <w:b w:val="0"/>
        </w:rPr>
        <w:t xml:space="preserve">Herr andre vice talman! Jag skulle önskat, att utskottet vid detta tillfälle gjort ett mycket bestämt och klart uttalande till ledning för fattigvårdsstyrelserna angående den mening, som tycks vara rådande inom utskottet, en mening, som delades av majoriteten vid föregående års riksdag, liksom den, att döma av den här förda diskussionen, delas av majoriteten vid årets riksdag. Föregående år yttrade sig en hel del av kammarens ledamöter. Bland dem erinrar jag mig särskilt herr Fast, som hade några mycket klara och bestämda uttalanden. I dag har herr Olovson gjort liknande uttalanden, men fattigvårdsstyrelserna fästa så liten vikt vid vad som yttras i riksdagen av enskilda kammarledamöter. Det hade varit riktigare, om utskottet i stället för att hänvisa till socialvårdskommittén gjort ett bestämt uttalande till ledning för fattigvårdsstyrelserna. Den motsättning, som förefinnes mellan fattigvårdslagen och pensionsförsäkringslagen, har åstadkommit åtskillig irritation icke enbart hos myndigheterna utan också hos de hjälpbehövande. Det skär sig på åtskilliga punkter. Då man hänvisas till folkpensionslagen, så slår man bildligt talat pannan blodig emot hinder, som möta i fattigvårdslagen, och hänvisas man till fattigvårdslagen, så stöter man på hinder, som pensionsförsäkringslagen lägger i vägen. Gammalt folk saknar ofta möjlighet att sköta sina egna angelägenheter. Fattigvårdslagen har ju också i viss mån sörjt för att de skola erhålla nödig handledning. Icke desto mindre måste man medgiva, att den bristande överensstämmelsen mellan pensionsförsäkringslagen och fattigvårdslagen är ägnad att hos vem som helst framkalla irritation. Jag vill bara erinra om det exempel, som herr Olovson anförde; jag syftar på </w:t>
      </w:r>
      <w:r>
        <w:rPr>
          <w:b/>
        </w:rPr>
        <w:t>änkan²</w:t>
      </w:r>
      <w:r>
        <w:rPr>
          <w:b w:val="0"/>
        </w:rPr>
        <w:t>, som höll på att bliva berövad sin pension. Det är intet enstaka fall. Sådant händer icke bara nere i Västmanland utan litet varstans i Sveriges bygder. Jag har träffat på många sådana fall, bland annat under min verksamhet här i Stockholm. Jag tror icke jag säger för mycket, om jag säger, att jag träffat på hundratals sådana fall.</w:t>
        <w:br/>
        <w:br/>
        <w:t>Nej, det är icke för mycket. I början av föregående år samlade jag in 600 uppgifter från pensionstagare. Av 600 pensionstagare hade ungefär ett hundratal icke fått någon standardförbättring genom dyrortsgraderingen. De hade det lika dåligt som förut. Fattigvårdsmyndigheterna hade tagit rubb och stubb. En del hade fått en ökning på 10 öre i månaden. Några hade kanske fått litet mera, beroende på särskilda förhållanden. I anledning av att olika fattigvårdsstyrelser sålunda tillämpat olika praxis avlät jag en skrivelse till fattigvårdsnämnden och påkallade en undersökning. Fattigvårdsnämndens delegerade gjorde också en undersökning och konstaterade, att en fattigvårdsmyndighet beslutat på ett sätt och en annan på ett annat. Man hade till exempel givit olika stora understöd på norr och på söder, trots att exempelvis bostadsomkostnaderna voro lika stora för de båda stadsdelarna. På detta sätt hade de gamla i somliga församlingar blivit missgynnade. Man söker nu att rätta till detta, men fullständig rättelse har ännu icke ernåtts.</w:t>
        <w:br/>
        <w:br/>
        <w:t>Jag kan i detta sammanhang nämna, att de kommunala pensionstillskotten, som ju skulle utgå vid sidan av folkpensionerna och icke hava fattigvårdskaraktär, efter den nya ordningens genomförande undan för undan sjunkit,</w:t>
        <w:br/>
        <w:br/>
        <w:t xml:space="preserve">Ang. sambandet mellan folkpension och fattigvård. (Forts.) medan däremot fattigvårdsavgifterna stegrats. Beträffande fattigvård föreligger som bekant återbetalningsskyldighet. Det är väl icke meningen, att riksdagen skall stifta sådana lagar och förordningar, att statistiken giver belägg för att fattigvårdsutgifterna ständigt ökas. Man borde väl tvärtom, när man genomför en social reform, förfara så, att de kommunala fattigvårdsutgifterna minskas. Det är väl riksdagens mening, då den genomför reformer och särskilt sådana reformer som den nu ifrågavarande. Det är alldeles uppenbart — jag vet det väl, ty mina egna anhöriga hava gjort den erfarenheten — att man och </w:t>
      </w:r>
      <w:r>
        <w:rPr>
          <w:b/>
        </w:rPr>
        <w:t>hustru²</w:t>
      </w:r>
      <w:r>
        <w:rPr>
          <w:b w:val="0"/>
        </w:rPr>
        <w:t xml:space="preserve"> ute på landsbygden, om de hava litet kommunal hjälp och göra alla tänkbara indragningar och inskränkningar för att få debet och kredit att gå ihop, kunna leva på de folkpensioner, som nu utgå. Ä orter, som tillhöra andra eller tredje dyrortsgruppen, är det dock fullkomligt omöjligt att reda sig enbart på folkpensionerna. Fattigvårdsmyndigheterna måste träda emellan. Så fort så sker, kommer emellertid ofta riksdagens innersta mening med de sociala reformernas genomförande att helt och hållet förfuskas. Det värsta är, att detta sker på sådana håll i vårt land, där hjälpen är mest behövlig. Där äger ingen standardförbättring rum. Jag har, som jag tidigare nämnt, här i Stockholm gjort en liten privat undersökning, därvid det visat sig, att de allra flesta icke erhållit någon som helst standardförbättring. Senast i måndags i denna vecka var saken uppe i Stockholms stadsfullmäktige, då frågan om de kommunala tilläggspensionerna diskuterades. Under diskussionen framhölls det, att från myndigheternas sida ofta hänvisades till andra lagutskottets uttalande om att man, så långt görligt vore, skulle söka undgå att lämna fattigvård. På grund härav ansåg man sig till exempel, om till en pensionär lämnades 200 kronor om året i dyrortstillägg, för att nedbringa fattigvårdskostnaden böra draga av motsvarande summa från dittills utgående fattigunderstöd. Den standardförbättring, som riksdagen hade uttalat sig till förmån för, den uteblev fullständigt. Därtill kom, att söner och </w:t>
      </w:r>
      <w:r>
        <w:rPr>
          <w:b/>
        </w:rPr>
        <w:t>döttrar²</w:t>
      </w:r>
      <w:r>
        <w:rPr>
          <w:b w:val="0"/>
        </w:rPr>
        <w:t>, som hade en liten inkomst, blevo återbetalningsskyldiga.</w:t>
        <w:br/>
        <w:br/>
        <w:t>Jag minns mycket väl, hur man, då man under 1936 års valrörelse åkte omkring i landet, överallt såg valaffischer med ett par gamla glada ansikten, tydligen tillhörande belåtna folkpensionärer: nu äntligen skulle det bliva någon förbättring! — I dag kommer till och med herr Olovson i Västerås, som är representant i andra lagutskottet, och förklarar, att vi skola icke göra någonting i den här saken, ty då kan den sista villan bli värre än den första. Det är ett verkligt gott erkännande och betyg åt den reform, man på sin tid genomförde, och vilken reform, enligt vad man då lovade, skulle bli så verkligt storartad. Jag måste säga, att det är hög tid, att en omjustering av lagen sker. Jag har tidigare i dag sagt, att jag har ingenting emot att frågan hänskjutes till socialvårdskommitténs utredning. Jag är överens med herr Olovson i Västerås därom, att problemen äro så pass invecklade, att man behöver göra en utredning. Jag hoppas emellertid att denna utredning icke skall behöva bli lidande på grund av de storpolitiska frågor, som nu ligga på riksdagens bord, och att den här frågan icke skall sammankopplas med andra utgiftsfrågor, utan skall kunna lösas oberoende av övriga frågor.</w:t>
        <w:br/>
        <w:br/>
        <w:t>Vill man, som man här talat om, kosta på sig utgifter för militära ändamål, epabåtar och sådant, skall man först se till att folkförsörjningen, både när det gäller unga och gamla, är tryggad. Är den icke det, herr Olovson i Västerås och andra, då ha vi ingenting att försvara. Då ha vi ingenting att kasta ut pengar för. Först måste man trygga folkförsörjningen — det är första budet — sedan kunna vi resonera om, huruvida vi ha pengar att försvara detta med. Att försvara ett befäst fattighus, det kan kanske bli en farlig bumerang.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2171</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