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2201</w:t>
      </w:r>
    </w:p>
    <w:p>
      <w:r>
        <w:rPr>
          <w:b/>
        </w:rPr>
        <w:t xml:space="preserve">Datum: </w:t>
      </w:r>
      <w:r>
        <w:t>1939-06-06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Kerstin Hesselgren (Folkpartiet, woman)</w:t>
      </w:r>
    </w:p>
    <w:p>
      <w:r>
        <w:rPr>
          <w:b w:val="0"/>
        </w:rPr>
        <w:t xml:space="preserve">Herr talman! Det är en helt annan punkt i statsutskottets utlåtande, som jag skall be att få yttra mig om. Förra året avlämnade jag jämte några andra av denna kammares ledamöter en motion, som till min stora glädje fick en mycket välvillig behandling av statsutskottet. Den gällde att begära en bättre löneställning för icke-adjunktskompetenta lärare vid de kommunala mellanskolorna än den, som Kungl. Maj:t ifrågasatte. Utskottet skrev den gången, att »det ansåge det icke obilligt, att i tjänst varande lärare med lägre lärdomsmeriter än som berättigade till ad- Junktskompetens skulle kunna erhålla gynnsammare lönegradsplacering än den av Kungl. Maj:t ifrågasatta. Åtskilliga», sade utskottet, »av dessa lärare vore synnerligen förtjänta och hade under en lång följd av år utfört ett högt skattat arbete i de högre kommunala skolornas tjänst.» Jag vill minnas att jag tackade utskottet varmt för att det sett så sympatiskt på den motion, som framlagts. Men döm om min förvåning, när jag i år finner i Kungl. Maj:ts proposition, att man visserligen upptagit statsutskottets uttalande, att det vore billigt, att de finge en högre löneplacering, men därvidlag endast tänkt på de manliga icke-adjunktskompetenta lärarna! När Jag läste detta i propositionen, tänkte Jag tillbaka på fjolåret och på statsutskottets välvilliga inställning och väckte därför i år jämte samma kammarledamöter ånyo en motion, i vilken vi hemställde, att man denna gång skulle taga samma hänsyn till de </w:t>
      </w:r>
      <w:r>
        <w:rPr>
          <w:b/>
        </w:rPr>
        <w:t>kvinnliga¹</w:t>
      </w:r>
      <w:r>
        <w:rPr>
          <w:b w:val="0"/>
        </w:rPr>
        <w:t xml:space="preserve"> som till de manliga lärarna. Men vad gör nu</w:t>
        <w:br/>
        <w:br/>
        <w:t xml:space="preserve">Jag har mycket allvarligt studerat skolöverstyrelsens yttrande på denna punkt och måste säga, att det är en ganska krystad utredning, som överstyrelsen framlägger för att söka bevisa, att det är rättvist, att man blott givit de manliga lärarna en högre löneplacering och icke de </w:t>
      </w:r>
      <w:r>
        <w:rPr>
          <w:b/>
        </w:rPr>
        <w:t>kvinnliga¹</w:t>
      </w:r>
      <w:r>
        <w:rPr>
          <w:b w:val="0"/>
        </w:rPr>
        <w:t xml:space="preserve">. Överstyrelsen säger också, att huru man än vänder på saken blir det inkonsekvent, och det är just vad jag tycker. Inkonsekvent är det hela. Jag kan icke fatta, herr talman, att det argumentet håller streck, att det skall vara nödvändigare att göra lönerna lika för </w:t>
      </w:r>
      <w:r>
        <w:rPr>
          <w:b/>
        </w:rPr>
        <w:t>kvinnliga¹</w:t>
      </w:r>
      <w:r>
        <w:rPr>
          <w:b w:val="0"/>
        </w:rPr>
        <w:t xml:space="preserve"> lärare vid två likadana skolformer än att göra lönerna olika, när det gäller män och </w:t>
      </w:r>
      <w:r>
        <w:rPr>
          <w:b/>
        </w:rPr>
        <w:t>kvinnor¹</w:t>
      </w:r>
      <w:r>
        <w:rPr>
          <w:b w:val="0"/>
        </w:rPr>
        <w:t>, som äro kamrater vid samma läroverk med samma tjänstgöring och således fullt jämförbara. Jag skulle icke säga något, om vi icke så nyligen som förra året gått in för likalönsprincipen, och jag har därför mycket svårt att förstå, att det kan vara riktigt att då omedelbart frångå den.</w:t>
        <w:br/>
        <w:br/>
        <w:t xml:space="preserve">Utskottet talade förra året om det synnerligen förtjänta och högt skattade arbetet. Är det blott de manliga, som på det viset utfört ett förtjänt och högt skattat arbete? Det tror jag icke. Många av de </w:t>
      </w:r>
      <w:r>
        <w:rPr>
          <w:b/>
        </w:rPr>
        <w:t>kvinnliga¹</w:t>
      </w:r>
      <w:r>
        <w:rPr>
          <w:b w:val="0"/>
        </w:rPr>
        <w:t xml:space="preserve"> lärare, som äro anställda, höra säkert till den gruppen. Flera av dem äro föreståndarinnor och rektorer för läroanstalter, och de ha kommit i den ställningen efter öppen tävlan med manliga kamrater. Därför kan jag icke förstå, att icke deras krav på annan löneställning skola vara lika berättigade som de andras.</w:t>
        <w:br/>
        <w:br/>
        <w:t xml:space="preserve">Nu förstår jag mycket väl, att när statsutskottet förlorat intresset för dessa </w:t>
      </w:r>
      <w:r>
        <w:rPr>
          <w:b/>
        </w:rPr>
        <w:t>kvinnliga¹</w:t>
      </w:r>
      <w:r>
        <w:rPr>
          <w:b w:val="0"/>
        </w:rPr>
        <w:t xml:space="preserve"> lärare och enhälligt gått in för att avslå motionen, är det ingen idé att yrka bifall till den, men jag vill blott säga, att detta icke är sista gången som denna fråga kommit före i riksdagen. Den torde komma igen.</w:t>
        <w:br/>
        <w:br/>
        <w:t>Jag har, herr talman, icke något yrkande.</w:t>
      </w:r>
    </w:p>
    <w:p>
      <w:pPr>
        <w:pStyle w:val="Heading2"/>
      </w:pPr>
      <w:r>
        <w:t>2. Conrad Jonsson (Socialdemokraterna, man)</w:t>
      </w:r>
    </w:p>
    <w:p>
      <w:r>
        <w:rPr>
          <w:b w:val="0"/>
        </w:rPr>
        <w:t>Herr talman! Det har visserligen icke gjorts något yrkande på ändring i statsutskottets förslag, så att man skulle kanske kunna avstå från att säga något, men nu har i debatten i varje fall anförts så pass mycket, att det kan vara skäl att göra några små anspråkslösa tillrättalägganden.</w:t>
        <w:br/>
        <w:br/>
        <w:t>Först vill jag uppriktigt säga, att herr De Geer mycket illa infriade sitt löfte att vara särskilt kortfattad i sin argumentering. Jag skall för säkerhets skull icke avge något liknande löfte. Jag är en bestämd motståndare till att staten skall övertaga hela förvaltningen av och ansvaret för folkskoleväsendet. Det är icke så enkelt, som herr De Geer söker framställa det, så att man blott flyttar över de kommunala kostnaderna på staten och det blir ungefär samma kostnader för staten som det nu blir för stat och kommun tillsammans. Därför att om man vidtager en sådan anordning, som herr De Geer här påyrkat, måste man vidga förvaltningsapparaten i oerhört hög grad. Skolöverstyrelsen, som redan har en arbetsbörda, som är så ofantligt stor, att styrelsen redan nu behöver förstärkas, skulle komma att kräva ytterligare förstärkning. Man måste ha ett betydligt ökat antal inspektörer ute i landet för folkskoleväsendet. Man måste kanhända ha hjälpredor åt folkskoleinspektörerna. Det kan hända, att man måste ha det i alla fall, men förstatligar man folkskoleväsendet är en sådan utveckling ofrånkomlig. Man måste, såvitt jag förstår, även ha andra mellaninstanser i folkskoleväsendets förvaltning än man nu har, vilket också skulle komma att draga sina kostnader. Den relativt billiga för-</w:t>
        <w:br/>
        <w:br/>
        <w:t>valtningen inom kommunerna, som man nu har, skulle sålunda bli fördyrad vid en centralisation. Det ligger också i sakens natur, att samtliga kostnader för folkskolornas underhåll skulle bli betydligt ökade. Det intresse, som nu finns hos kommunerna att om möjligt hålla folkskoleväsendet uppe med låga kostnader, skulle försvinna. Man kan nämligen icke tänka sig, att, om man centraliserade folkskoleväsendet och dess förvaltning lades i statens händer, man ändå skulle ha det kommunala intresset kvar, ty dessa kommunala instanser skulle då förlora det intresse och den ansvarskänsla, som de nu ha att försöka förvalta sitt skolväsen så billigt som det överhuvud taget är möjligt. Det kan för tillfället räcka med att säga detta till herr De Geer.</w:t>
        <w:br/>
        <w:br/>
        <w:t xml:space="preserve">Vad beträffar </w:t>
      </w:r>
      <w:r>
        <w:rPr>
          <w:b/>
        </w:rPr>
        <w:t>fröken²</w:t>
      </w:r>
      <w:r>
        <w:rPr>
          <w:b w:val="0"/>
        </w:rPr>
        <w:t xml:space="preserve"> Hesselgren ber jag att för min privata del bestämt få protestera mot det påståendet, att statsutskottet förlorat intresset för de </w:t>
      </w:r>
      <w:r>
        <w:rPr>
          <w:b/>
        </w:rPr>
        <w:t>kvinnliga¹</w:t>
      </w:r>
      <w:r>
        <w:rPr>
          <w:b w:val="0"/>
        </w:rPr>
        <w:t xml:space="preserve"> lärarna. Det gäller i alla fall icke för mitt vidkommande. Det borde </w:t>
      </w:r>
      <w:r>
        <w:rPr>
          <w:b/>
        </w:rPr>
        <w:t>fröken²</w:t>
      </w:r>
      <w:r>
        <w:rPr>
          <w:b w:val="0"/>
        </w:rPr>
        <w:t xml:space="preserve"> Hesselgren veta. Jag har själv varit intresserad av att finna en utväg, på vilken man skulle kunna hjälpa upp i en högre löneplacering även de </w:t>
      </w:r>
      <w:r>
        <w:rPr>
          <w:b/>
        </w:rPr>
        <w:t>kvinnliga¹</w:t>
      </w:r>
      <w:r>
        <w:rPr>
          <w:b w:val="0"/>
        </w:rPr>
        <w:t xml:space="preserve"> lärarna. Detta är anledningen till att statsutskottet — det kan jag gärna säga — skrev så pass välvilligt i fjol. Vi voro icke säkra på huruvida vi skulle lyckas, men vi ville i alla fall försöka. Det är tydligen klokare att för framtiden akta sig för att vara välvillig. Vid en närmare undersökning visade det sig nämligen icke så lätt som man trodde.</w:t>
        <w:br/>
        <w:br/>
        <w:t>År 1937 reglerades lönerna vid de allmänna läroverken. Då fingo vi lönegraderna L 23, L 22 och L 21. Adjunkterna stå antingen i L 23 eller L 22, och ämmeslärarinnorna stå allesammans i L 21. Vad det nu är fråga om är att ställa befattningshavarna vid de kommunala mellanskolorna i precis samma ställning som motsvarande befattningshavare vid de allmänna läroverken. Jag kan icke påminna mig, att jag hörde någon starkare opposition mot denna lönesättning vid de allmänna läroverken, när den gjordes. Skall man nu göra den ändringen beträffande de kommunala mellanskolorna, att man sätter ämneslärarna i lönegrad IL 22, måste man å andra sidan också upphöja ämneslärarna vid statens realskolor i samma lönegrad. Det kan man naturligtvis göra om man vill, men statsutskottet är för närvarande icke berett att företaga en sådan åtgärd. Då kan man väl väcka en motion och komma med förslag därom till en annan riksdag, om man är intresserad för saken. Ty det är Ju fullkomligt orättvist att mena, att ämneslärare vid de kommunala mellanskolorna skola ha mera betalt än ämneslärare vid statens realskolor, fastän de ju göra samma tjänst. Det finns ingen skillnad i något hänseende. Således borde ämneslärarna vid statens realskolor stå i lönegrad IL 22, om man anser det rimligt och riktigt, att ämneslärarna vid de kommunala mellanskolorna stå i lönegrad L 22. Den konsekvensen har statsutskottet för närvarande icke velat gå in på. Det är anledningen till vår försiktiga hållning. Åtminstone är det anledningen till min ståndpunkt i detta fall.</w:t>
        <w:br/>
        <w:br/>
        <w:t>Med det anförda ber jag att få yrka bifall till utskottets hemställan.</w:t>
      </w:r>
    </w:p>
    <w:p>
      <w:pPr>
        <w:pStyle w:val="Heading2"/>
      </w:pPr>
      <w:r>
        <w:t>3. Kerstin Hesselgren (Folkpartiet, woman)</w:t>
      </w:r>
    </w:p>
    <w:p>
      <w:r>
        <w:rPr>
          <w:b w:val="0"/>
        </w:rPr>
        <w:t xml:space="preserve">Herr talman! Blott en replik! Jag vill blott säga att jag är mycket tacksam för detta uttalande att intresset fortfarande var till finnandes i utskottet, och jag tror, att då intresse för vår sak nu finns skall det också finnas i framtiden. Framtiden har ofta marscherat i en gynnsam riktning för </w:t>
      </w:r>
      <w:r>
        <w:rPr>
          <w:b/>
        </w:rPr>
        <w:t>kvinnorna¹</w:t>
      </w:r>
      <w:r>
        <w:rPr>
          <w:b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2201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