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w:t>
      </w:r>
    </w:p>
    <w:p>
      <w:r>
        <w:rPr>
          <w:b/>
        </w:rPr>
        <w:t xml:space="preserve">Datum: </w:t>
      </w:r>
      <w:r>
        <w:t>1900-02-16</w:t>
      </w:r>
    </w:p>
    <w:p>
      <w:r>
        <w:rPr>
          <w:b/>
        </w:rPr>
        <w:t xml:space="preserve">Kammare: </w:t>
      </w:r>
      <w:r>
        <w:t>Första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Albert Sjöholm (–, man)</w:t>
      </w:r>
    </w:p>
    <w:p>
      <w:r>
        <w:rPr>
          <w:b w:val="0"/>
        </w:rPr>
        <w:t>Det talades för några dagar sedan i denna kammare om betydelsen af enhet och sammanhang i vår lagstiftning, att en allmän grundåskådning börj vara genomgående i vår lag, och en gifven princip göra sig gällande i de olika lagbalkarne. Det påpekades, att 1734 års lag var så uppstäld och att detta varit jemförelsevis lätt då med den tidens enkla förhållanden, men att i samma mån som samhällets utveckling fortgått och de menskliga förhållandena alltmera invecklats, i samma mån blefve det svårt att fullfölja och tillämpa en gifven princip. År nu detta sant, då finnes en gifven princip uttalad 1 vår giftermålsbalk och äfven en princip uttalad i vår ärfdabalk, och det måste finnas ett sammanhang mellan dessa båda lagbalkar.</w:t>
        <w:br/>
        <w:br/>
        <w:t>Hvarje lagändring således, som går ut på att rubba ett sådant</w:t>
        <w:br/>
        <w:br/>
        <w:t>sammanhang, förutsatt att det är rigtigt, måste då tillbakavisas, för att man icke skall råka i motsägelser och få en lag, som är ett lappverk utan harmoni.</w:t>
        <w:br/>
        <w:br/>
        <w:t>Då jag läste det föreliggande betänkandet och särskildt motionärens motivering, föreföll det mig, som här förelåg fråga om att rubba en godkänd princip. Det kan nemligen icke bestridas, att en sedlighets-synpunkt gör sig gällande i hela vår svenska lag och särskildt i giftermålsbalken och ärfdabalken. Hvad är det då för en synpunkt, som uttalar sig i motionen? Det angifver författaren med en naiv öppenbjertighet, då han på sid. 5 i betänkandet säger: "härvid måste jag öppet erkänna, att jag är så långt ifrån att anse det vara ett ondt, att jag tvärtom anser det vara ett positivt godt, om skilnaden mellan äkta och -oäkta börd småningom skulle kunna utplånas.' Hvad säga herrarne om dylikt? Utskottet har icke ett enda ord till bemötande af detta, utan utskottet instämmer i denna motionärens uttalade åsigt. Det är de citerade orden, som uppkallat mig, för att icke ett sådant yttrande i en offentlig riksdagshandling må oanmärkt förbigås.</w:t>
        <w:br/>
        <w:br/>
        <w:t>Men motionären talar ju i barmhertighetens namn, han ömmar ju för de oskyldigt lidande, ty han fortsätter: "Efter min uppfattning borde det nemligen vara en af de högsta uppgifter för samhället att i möjligaste måtto söka förekomma och häfva allt oskyldigt lidande. Och ingen kan väl påstå, att den oäkta föddes ställning af förskjuten och tillbakasatt ej är ett oskyldigt lidande." Ja, det kunna vi ju vara med om, att såvidt man kan, skall man söka förekomma och häfva allt oskyldigt lidande, men jag vill fästa uppmärksamheten på, att då man visar eller utöfvar barmhertighet, får man icke på samma gång begå en annan och större obarmhertighet. Och obarmhertigt måste det alltid vara att ur lagen utplåna skilnaden mellan ett sedligt och ett osedligt förhållande.</w:t>
        <w:br/>
        <w:br/>
        <w:t xml:space="preserve">Jag vill också fästa uppmärksamheten på, att det finnes mycket oskyldigt lidande i denna ofullkomlighetens verld, som man icke kan förekomma. Så länge det finnes onda lidelser och brott, måste det finnas lidande, och så länge menskligheten är en organisk enhet, kommer lidandet icke blott öfver den skyldige, utan äfven öfver många oskyldiga. Detta är en rättfärdighetens lag, som ingen mensklig lagstiftning förmår upphäfva. — Ett oskyldigt lidande är ju, att ett barn födes i ett uselt hem, och att det får växa upp i andlig och lekamlig nöd. Det är ju också ett oskyldigt lidande, att sjukdomar gå i arf. Detta är nu svåra oskyldiga lidanden i jemförelse med det lidande, hvarom här talas, att oäkta barn skulle vara utsatta för, att de icke få ärfva lika med äkta barn. Detta sistnämnda är, synes det mig, ett jemförelsevis mycket litet lidande. Vi skola också komma i håg, att detta har en temligen liten praktisk betydelse, ty i allmänhet lemnar den </w:t>
      </w:r>
      <w:r>
        <w:rPr>
          <w:b/>
        </w:rPr>
        <w:t>moder²</w:t>
      </w:r>
      <w:r>
        <w:rPr>
          <w:b w:val="0"/>
        </w:rPr>
        <w:t>, som får ett oäkta barn, sällan någonting efter sig, det har derför ingenting att ärfva. Det enda arf, som för öfrigt har någon egentlig betydelse och medför verklig välsignelse, är en god uppfostran, och en god uppfostran kan ett oäkta barn få lika väl som ett äkta. Allt som på lagstiftningsväg göres för att uppfostra och</w:t>
        <w:br/>
        <w:br/>
        <w:t>vårda oäkta barn skall jag gerna vara med om, blott det icke sker på bekostnad af familjelifvets helgd.</w:t>
        <w:br/>
        <w:br/>
        <w:t>Jag är fullkomligt öfvertygad om, att i fall en lag, på sätt bär är föreslaget, blir antagen, kommer den att leda till lösandet af familjelifvets band. Jag behöfver icke för herrarne framhålla historiens lärdomar i detta fall, huru det går för ett folk, som beträder denna väg.</w:t>
        <w:br/>
        <w:br/>
        <w:t>Naturligtvis skulle jag under sådana förhållanden helst se, att alltsammans blefve afslaget, och att sålunda ingen skrifvelse till Kongl. Maj:t komme till stånd, men då jag icke är säker på, huruvida detta kan vinna understöd i kammaren, skall jag till en början inskränka mig att yrka afslag på utskottets hemställan och bifall till det minst skadliga, nemligen herr Hasselrots, Lundströms och Hedenstiernas reservation.</w:t>
      </w:r>
    </w:p>
    <w:p>
      <w:pPr>
        <w:pStyle w:val="Heading2"/>
      </w:pPr>
      <w:r>
        <w:t>2. Jakob Berlin (–, man)</w:t>
      </w:r>
    </w:p>
    <w:p>
      <w:r>
        <w:rPr>
          <w:b w:val="0"/>
        </w:rPr>
        <w:t xml:space="preserve">Som kammaren behagade finna, hafva några ledamöter ifrån denna kammare, då de reserverat sig emot utskottets utlåtande, hyst olika åsigter. — Meningsskiljaktigheten dem emellan har dock icke varit så synnerligen stor. Omfånget af den rätt till arf, som lagen, låt vara af skilda grunder, velat tillerkänna oäkta barn, har begränsats till arf efter modern. Vid bestämmande af arfslotten har den gjorts lika med de äkta barnens. På samma sätt i fråga om vilkoren för åtnjutande af arf. Lagutskottets ledamöter hafva varit öfverens om, att oäkta barn, födda under </w:t>
      </w:r>
      <w:r>
        <w:rPr>
          <w:b/>
        </w:rPr>
        <w:t>moderns²</w:t>
      </w:r>
      <w:r>
        <w:rPr>
          <w:b w:val="0"/>
        </w:rPr>
        <w:t xml:space="preserve"> äktenskap eller i förbjudna led, skulle vara uteslutna. Det är således endast i fråga om bevisningen, som Första Kammarens ledamöter inom lagutskottet varit af olika meningar. Utskottets ärade ordförande och hans medreservanter hafva endast velat bibehålla den hittills tillåtna bevisning, nemligen anteckning på </w:t>
      </w:r>
      <w:r>
        <w:rPr>
          <w:b/>
        </w:rPr>
        <w:t>moderns²</w:t>
      </w:r>
      <w:r>
        <w:rPr>
          <w:b w:val="0"/>
        </w:rPr>
        <w:t xml:space="preserve"> begäran i kyrkoboken derom, att barnet varit </w:t>
      </w:r>
      <w:r>
        <w:rPr>
          <w:b/>
        </w:rPr>
        <w:t>hennes²</w:t>
      </w:r>
      <w:r>
        <w:rPr>
          <w:b w:val="0"/>
        </w:rPr>
        <w:t xml:space="preserve">. Jag och mina medreservanter hafva velat gå något längre och bereda en friare form för maternitetsbevisning genom att såsom sådan godkänna hvarje bevisligt erkännande af modern. Detta må vara gjordt direkte genom en särskild handling eller också på ett mera indirekt sätt. Men man kan icke vara tillfredsstäld med att, sedan till exempel en </w:t>
      </w:r>
      <w:r>
        <w:rPr>
          <w:b/>
        </w:rPr>
        <w:t>moder²</w:t>
      </w:r>
      <w:r>
        <w:rPr>
          <w:b w:val="0"/>
        </w:rPr>
        <w:t xml:space="preserve"> under sin lifstid nödgats anhängiggöra rättegång för utbekommande af bidrag till sitt barns vård och uppfostran och dervid på ett alldeles otvetydigt sätt ådagalagt, att </w:t>
      </w:r>
      <w:r>
        <w:rPr>
          <w:b/>
        </w:rPr>
        <w:t>hon²</w:t>
      </w:r>
      <w:r>
        <w:rPr>
          <w:b w:val="0"/>
        </w:rPr>
        <w:t xml:space="preserve"> är </w:t>
      </w:r>
      <w:r>
        <w:rPr>
          <w:b/>
        </w:rPr>
        <w:t>moder²</w:t>
      </w:r>
      <w:r>
        <w:rPr>
          <w:b w:val="0"/>
        </w:rPr>
        <w:t xml:space="preserve"> till barnet, och detta, efter </w:t>
      </w:r>
      <w:r>
        <w:rPr>
          <w:b/>
        </w:rPr>
        <w:t>hennes²</w:t>
      </w:r>
      <w:r>
        <w:rPr>
          <w:b w:val="0"/>
        </w:rPr>
        <w:t xml:space="preserve"> död gör anspråk på att komma i åtnjutande af arf efter </w:t>
      </w:r>
      <w:r>
        <w:rPr>
          <w:b/>
        </w:rPr>
        <w:t>henne²</w:t>
      </w:r>
      <w:r>
        <w:rPr>
          <w:b w:val="0"/>
        </w:rPr>
        <w:t xml:space="preserve"> och företer ett dylikt bevis, detta då skall underkännas. Det måste, som sagdt, anses icke kunna vara tillfredsställande, och det är detta, som föranledt min reservation, till hvilken jag vördsamt anhåller om bifall.</w:t>
      </w:r>
    </w:p>
    <w:p>
      <w:pPr>
        <w:pStyle w:val="Heading2"/>
      </w:pPr>
      <w:r>
        <w:t>3. Carl Birger Hasselrot (–, man)</w:t>
      </w:r>
    </w:p>
    <w:p>
      <w:r>
        <w:rPr>
          <w:b w:val="0"/>
        </w:rPr>
        <w:t>Säkerligen kan ingen ledamot af kammaren med mera värme än jag hysa medkänsla för den svåra ställning, hvari oäkta barn ofta befinna sig. Men denna känsla kan icke förmå mig att bryta emot en princip, på hvilken vår lagstiftning sedan urminnes tider varit byggd.</w:t>
        <w:br/>
        <w:br/>
        <w:t>Såsom en föregående talare påpekade, finnas många olyckor i verlden. Ett barn kan födas vanskapligt eller i armod och kommer</w:t>
        <w:br/>
        <w:br/>
        <w:t>derigenom kanske i ändå sämre ställning än ett oäkta barn. Men detta kan icke på lagstiftningsväg hjelpas, och jag tror ej heller, att det oäkta barnets lidande bör afhjelpas på lagstiftningsväg i vidare mån än den första reservationen afser, hvartill jag sedan skall återkomma.</w:t>
        <w:br/>
        <w:br/>
        <w:t xml:space="preserve">Det har varit en princip, som legat till grund för hela vår lagstiftning beträffande arfsrätten, att den är baserad på familjerätten. Arfsrätten är en familjerätt. Det oäkta barnet tillhör icke familjen. De hafva, enligt mitt förmenande, alldeles orätt, som tala om det oäkta barnets rätt. — Barnet har i detta fall ingen annan rätt än det får genom uttalanden af fader eller </w:t>
      </w:r>
      <w:r>
        <w:rPr>
          <w:b/>
        </w:rPr>
        <w:t>moder²</w:t>
      </w:r>
      <w:r>
        <w:rPr>
          <w:b w:val="0"/>
        </w:rPr>
        <w:t>. De kunna genom gåfva eller testamente gifva detta barn hvad som skäligt kan finnas, men någon verklig arfsrätt kan det oäkta barnet ej göra anspråk på.</w:t>
        <w:br/>
        <w:br/>
        <w:t xml:space="preserve">Nu har visserligen lagstiftningen begagnat detta uttryck och sagt, att det oäkta barnet har arfsrätt efter sin </w:t>
      </w:r>
      <w:r>
        <w:rPr>
          <w:b/>
        </w:rPr>
        <w:t>moder²</w:t>
      </w:r>
      <w:r>
        <w:rPr>
          <w:b w:val="0"/>
        </w:rPr>
        <w:t xml:space="preserve">, då </w:t>
      </w:r>
      <w:r>
        <w:rPr>
          <w:b/>
        </w:rPr>
        <w:t>hon²</w:t>
      </w:r>
      <w:r>
        <w:rPr>
          <w:b w:val="0"/>
        </w:rPr>
        <w:t xml:space="preserve"> låtit anteckna i kyrkoboken, att barnet är </w:t>
      </w:r>
      <w:r>
        <w:rPr>
          <w:b/>
        </w:rPr>
        <w:t>hennes²</w:t>
      </w:r>
      <w:r>
        <w:rPr>
          <w:b w:val="0"/>
        </w:rPr>
        <w:t xml:space="preserve">. Det är emellertid faktiskt ingenting annat än en förklädd testaments-rätt. Man har velat lemna modern denna lättare utväg att se sitt barn till godo, att </w:t>
      </w:r>
      <w:r>
        <w:rPr>
          <w:b/>
        </w:rPr>
        <w:t>hon²</w:t>
      </w:r>
      <w:r>
        <w:rPr>
          <w:b w:val="0"/>
        </w:rPr>
        <w:t xml:space="preserve">, i stället för besväret att upprätta ett testamente, kan genom denna enkla anpmälan förklara, att barnet är </w:t>
      </w:r>
      <w:r>
        <w:rPr>
          <w:b/>
        </w:rPr>
        <w:t>hennes²</w:t>
      </w:r>
      <w:r>
        <w:rPr>
          <w:b w:val="0"/>
        </w:rPr>
        <w:t xml:space="preserve">; och då får barnet den rätt, som modern härmed tilldelat detsamma. — Så långt bör man enligt min tanke gå, och man kan gerna taga steget fullt ut, så att, då enligt, nuvarande lag ett oäkta barn endast ärfver hälften emot de äkta barnen, men man gerna kan förutsätta, att modern har alla barnen lika kära, man gifver de oäkta barnen full rätt i likhet med de äkta barnen till </w:t>
      </w:r>
      <w:r>
        <w:rPr>
          <w:b/>
        </w:rPr>
        <w:t>moderns²</w:t>
      </w:r>
      <w:r>
        <w:rPr>
          <w:b w:val="0"/>
        </w:rPr>
        <w:t xml:space="preserve"> qvarlåtenskap, förutsatt att föreskrifven anmälan till kyrkoboken egt rum. Detta synes mig på intet sätt strida emot den genomgående principen i lagstiftningen. Att, såsom den siste talaren föreslog, gå längre och lemna barnet rätt att bevisa, att modern erkänt barnet såsom sitt, det vore deremot att släppa principen. Det låter icke så farligt, men går man den vägen, då vet jag icke, hvarför man skall stanna vid det beviset. Låter man barnet för vinnande af arfsrätt bevisa, att modern erkänt det såsom sitt, har jag svårt att förstå, hvarför ej arfsrätt för barnet skall följa, äfven om bevisning på annat sätt kan åvägabringas om moderskapet; och så blir nästa steg, att det får söka bevisa, hvem som är dess fader för att få arfsrätt jemväl efter denne. Mig synes det sålunda vara farligt att släppa den principiella ståndpunkt, på hvilken jag fortfarande anser mig böra stå.</w:t>
        <w:br/>
        <w:br/>
        <w:t xml:space="preserve">Nu säger man, att anteckningen i kyrkoboken göres i allmänhet icke rigtigt och att den derför icke har den effekt, som den bör hafva; de flesta oäkta barn få af sådan anledning icke arf efter sin </w:t>
      </w:r>
      <w:r>
        <w:rPr>
          <w:b/>
        </w:rPr>
        <w:t>moder²</w:t>
      </w:r>
      <w:r>
        <w:rPr>
          <w:b w:val="0"/>
        </w:rPr>
        <w:t xml:space="preserve">. Ja, det är sant, så har det varit; men de flesta rättegångar härom torde hafva förlorats derför att de afsett arf för sådana barn, som varit födda före år 1885. Med anledning af en Riksdagens skrifvelse utfärdades år 1885 ett cirkulär till presterskapet i riket med påpekande af önskvärdheten af att dessa </w:t>
      </w:r>
      <w:r>
        <w:rPr>
          <w:b/>
        </w:rPr>
        <w:t>mödrar²</w:t>
      </w:r>
      <w:r>
        <w:rPr>
          <w:b w:val="0"/>
        </w:rPr>
        <w:t xml:space="preserve"> finge reda på hvad de hade att iakttaga för att barnen skulle få arfsrätt efter dem. Efter hvad jag hört af ett stort antal prester i olika delar af landet och hvad jag sjelf på flera ställen sett, tillämpas detta nu ordentligt. De oäkta barnens</w:t>
        <w:br/>
        <w:br/>
      </w:r>
      <w:r>
        <w:rPr>
          <w:b/>
        </w:rPr>
        <w:t>mödrar²</w:t>
      </w:r>
      <w:r>
        <w:rPr>
          <w:b w:val="0"/>
        </w:rPr>
        <w:t xml:space="preserve"> upplysas om, att i fall de vilja, att barnen skola få arfsrätt, skola de låta göra anteckning i kyrkoboken, och sådant sker då i de</w:t>
        <w:br/>
        <w:br/>
        <w:t xml:space="preserve">allra flesta fall. På detta sätt vinnes reda och ordning, och man har ,örande oäkta för framtiden undanröjt alla olägenheter härvidlag. Vill en </w:t>
      </w:r>
      <w:r>
        <w:rPr>
          <w:b/>
        </w:rPr>
        <w:t>moder²</w:t>
      </w:r>
      <w:r>
        <w:rPr>
          <w:b w:val="0"/>
        </w:rPr>
        <w:t xml:space="preserve"> barns arfsrätt,</w:t>
        <w:br/>
        <w:br/>
        <w:t xml:space="preserve">gifva sitt barn arfsrätt, kan </w:t>
      </w:r>
      <w:r>
        <w:rPr>
          <w:b/>
        </w:rPr>
        <w:t>hon²</w:t>
      </w:r>
      <w:r>
        <w:rPr>
          <w:b w:val="0"/>
        </w:rPr>
        <w:t xml:space="preserve"> göra det på detta enkla sätt, men att låta barnet sjelf utan ett sådant tillkännagifvande af modern åvägabringa annan bevisning för vinnande af arfsrätt strider emot den uppfattning jag har. Jag tror sålunda, att man icke bör gå längre än att utsträcka barnets arfsrätt så långt man kan utan att bryta emot principen i lagstiftningen.</w:t>
        <w:br/>
        <w:br/>
        <w:t>Jag tillåter mig på dessa grunder yrka bifall till min reservation.</w:t>
      </w:r>
    </w:p>
    <w:p>
      <w:pPr>
        <w:pStyle w:val="Heading2"/>
      </w:pPr>
      <w:r>
        <w:t>4. Svante Sandqvist (Första kammarens protektionistiska parti, man)</w:t>
      </w:r>
    </w:p>
    <w:p>
      <w:r>
        <w:rPr>
          <w:b w:val="0"/>
        </w:rPr>
        <w:t>Jag har icke varit med att iutskottet behandla detta ärende och jag anser mig derför böra tillkännagifva, att jag icke kan dela utskottets mening. Jag har visserligen intet att erinra emot att de oäkta barnens arfsrätt utsträckes, men deremot har jag icke kunnat gilla, att utskottet lemnat alldeles obeaktadt det sätt, hvarpå de oäkta barnens legitimitet i arfsfrågor skall styrkas. Efter hvad här förut blifvit sagdt, kan jag inskränka mig till att förklara, att jag instämmer i den af herr Hasselrot m. £f. afgifna reservationen.</w:t>
      </w:r>
    </w:p>
    <w:p>
      <w:pPr>
        <w:pStyle w:val="Heading2"/>
      </w:pPr>
      <w:r>
        <w:t>5. Hugo Blomberg (Första kammarens protektionistiska parti, man)</w:t>
      </w:r>
    </w:p>
    <w:p>
      <w:r>
        <w:rPr>
          <w:b w:val="0"/>
        </w:rPr>
        <w:t>Jag skulle icke hafva yttrat mig i denna fråga annat än med ett kort yrkande, för så vidt icke under diskussionen blifvit uttalade sådana grundsatser, som jag anser böra tillbakavisas.</w:t>
        <w:br/>
        <w:br/>
        <w:t xml:space="preserve">Redan från början vill jag förklara, att jag står på en ståndpunkt i denna fråga, som nära ansluter sig till lagutskottets förslag. Jag förmenar, att man gör orätt, då man påstår, att hänsynen till enheten och sammanhanget uti vår gällande lagstiftning fordrar upprätthållande af den grundsats, som med afseende å oäkta barns arfsrätt för närvarande gäller. Och jag vill spörja hvad den princip skulle innebära, som man här talat så mycket om, men som man icke närmare klargjort? Det skulle väl vara familjesammanhangets princip, så vidt jag kan förstå. Men detta familjesammanhang har vår lagstiftning redan erkänt såsom gällande mellan modren och </w:t>
      </w:r>
      <w:r>
        <w:rPr>
          <w:b/>
        </w:rPr>
        <w:t>hennes²</w:t>
      </w:r>
      <w:r>
        <w:rPr>
          <w:b w:val="0"/>
        </w:rPr>
        <w:t xml:space="preserve"> oäkta barn. Staten ryggar icke tillbaka för att erkänna detta familjeförhållande, då statens intresse sådant fordrar. Detta gäller i fråga om statsborgarskap och om fattigvård; med afseende å dessa förhållanden är samhörigheten mellan modren och </w:t>
      </w:r>
      <w:r>
        <w:rPr>
          <w:b/>
        </w:rPr>
        <w:t>hennes²</w:t>
      </w:r>
      <w:r>
        <w:rPr>
          <w:b w:val="0"/>
        </w:rPr>
        <w:t xml:space="preserve"> oäkta barn redan lagstadgad. Vår gällande lagstiftning går ännu längre i att erkänna familjebandet, då den tillerkänner modren arfsrätt efter </w:t>
      </w:r>
      <w:r>
        <w:rPr>
          <w:b/>
        </w:rPr>
        <w:t>hennes²</w:t>
      </w:r>
      <w:r>
        <w:rPr>
          <w:b w:val="0"/>
        </w:rPr>
        <w:t xml:space="preserve"> oäkta barn. Af den princip, som skulle vara oförenlig med en verklig utvidgning af de oäkta barnens arfsrätt, blir efter detta icke mycket qvar.</w:t>
        <w:br/>
        <w:br/>
        <w:t xml:space="preserve">Det finnes familjeband mellan modren och </w:t>
      </w:r>
      <w:r>
        <w:rPr>
          <w:b/>
        </w:rPr>
        <w:t>hennes²</w:t>
      </w:r>
      <w:r>
        <w:rPr>
          <w:b w:val="0"/>
        </w:rPr>
        <w:t xml:space="preserve"> oäkta barn lika väl som mellan det äkta barnet och dettas föräldrar, och särskildt principryttaren måste väl lika mycket medgifva arfsrätt åt barnet efter modren som åt modren efter barnet.</w:t>
        <w:br/>
        <w:br/>
        <w:t>Men, säger man, det skulle vara obarmhertigt och samhällsupplösande, om man icke skulle taga hänsyn till de sedlighetsgrundsatser, som uppbära de nuvarande arfsreglerna. Om man i dylikt sedlighets-</w:t>
        <w:br/>
        <w:br/>
        <w:t>syfte gjorde det yrkandet, att man skulle taga bort modrens arfsrätt</w:t>
        <w:br/>
        <w:br/>
        <w:t>efter sitt oäkta barn, så skulle jag möjligen kunna förstå tankegången, ty då träffade man den, som i sedligt afseende vore den skyldiga. Den gällande lagstiftningen drabbar deremot barnet, som i sedligt afseende är oskyldigt; detta är något, som jag finner vara alldeles orimligt, innebära verklig obarmhertighet och strida mot sann sedlighet.</w:t>
        <w:br/>
        <w:br/>
        <w:t xml:space="preserve">Då jag icke kan inse, att någon principiel grund af tillräcklig innebörd finnes att försöka fortfarande upprätthålla de oäkta barnens uteslutande från arfsrätt efter </w:t>
      </w:r>
      <w:r>
        <w:rPr>
          <w:b/>
        </w:rPr>
        <w:t>moder²</w:t>
      </w:r>
      <w:r>
        <w:rPr>
          <w:b w:val="0"/>
        </w:rPr>
        <w:t xml:space="preserve"> eller att binda denna arfsrätt vid så stränga inskränkande bestämmelser, att de oäkta barnen faktiskt blifva i de flesta fall uteslutna från denna rätt, måste jag beteckna herr Hasselrots reservation såsom otillfredsställande. Men jag skall, för att icke begära för mycket, inskränka mig till att yrka bifall till den reservation, som afgifvits af herr Berlin och flere andra af denna kammares ledamöter.</w:t>
      </w:r>
    </w:p>
    <w:p>
      <w:pPr>
        <w:pStyle w:val="Heading2"/>
      </w:pPr>
      <w:r>
        <w:t>6. Raoul Hamilton (Frisinnade folkpartiet, man)</w:t>
      </w:r>
    </w:p>
    <w:p>
      <w:r>
        <w:rPr>
          <w:b w:val="0"/>
        </w:rPr>
        <w:t>Jag har förgäfves väntat, att någon skulle yrka bifall till utskottets förslag och har derför begärt ordet för att göra detta.</w:t>
        <w:br/>
        <w:br/>
        <w:t xml:space="preserve">Visserligen bör man göra allt för att upprätthålla sedlighet och moral, men dock icke gå så långt, att man straffar den ene för den andres brott, straffar det oskyldiga barnet för den osedliga modern, Om jag genom bibehållande af den nuvarande lagbestämmelsen skulle kunna straffa modern eller om jag skulle kunna hindra äfven andra att begå samma felsteg som </w:t>
      </w:r>
      <w:r>
        <w:rPr>
          <w:b/>
        </w:rPr>
        <w:t>hon²</w:t>
      </w:r>
      <w:r>
        <w:rPr>
          <w:b w:val="0"/>
        </w:rPr>
        <w:t>, skulle jag icke tveka ett ögonblick att yrka afslag å såväl utskottets som reservanternas förslag. Men då icke så kan ske, då det icke har den följden, synes mig bibehållandet af nu gällande lagstiftning vara i strid både mot menniskokärlek och sundt förnuft.</w:t>
        <w:br/>
        <w:br/>
        <w:t xml:space="preserve">Man skulle kunna säga, att ett bifall till herr Berlins förslag vore tillräckligt; men sådana fall kunna inträffa, som till exempel att modern dör vid barnets födelse och </w:t>
      </w:r>
      <w:r>
        <w:rPr>
          <w:b/>
        </w:rPr>
        <w:t>hon²</w:t>
      </w:r>
      <w:r>
        <w:rPr>
          <w:b w:val="0"/>
        </w:rPr>
        <w:t xml:space="preserve"> således icke är i tillfälle erkänna sitt barn. Skall derför detta barn straffas och hvarför skall icke oäkta barn få taga arf äfven efter möderne-slägtingar? Skall man straffa någon, så skall man straffa den skyldige. Jag yrkar bifall till utskottets förslag.</w:t>
      </w:r>
    </w:p>
    <w:p>
      <w:pPr>
        <w:pStyle w:val="Heading2"/>
      </w:pPr>
      <w:r>
        <w:t>7. Magnus Unger (Första kammarens protektionistiska parti, man)</w:t>
      </w:r>
    </w:p>
    <w:p>
      <w:r>
        <w:rPr>
          <w:b w:val="0"/>
        </w:rPr>
        <w:t xml:space="preserve">Till en början vill jag erinra derom, att oäkta barn hafva arfsrätt äfven efter nu gällande lag, nemligen i hvad som icke utgör bröstarfvinges laglott; och vill </w:t>
      </w:r>
      <w:r>
        <w:rPr>
          <w:b/>
        </w:rPr>
        <w:t>moder²</w:t>
      </w:r>
      <w:r>
        <w:rPr>
          <w:b w:val="0"/>
        </w:rPr>
        <w:t xml:space="preserve"> gifva det oäkta barnet mera af det, som icke utgör bröstarfvinges laglott, så står det </w:t>
      </w:r>
      <w:r>
        <w:rPr>
          <w:b/>
        </w:rPr>
        <w:t>henne²</w:t>
      </w:r>
      <w:r>
        <w:rPr>
          <w:b w:val="0"/>
        </w:rPr>
        <w:t xml:space="preserve"> öppet att genom testamente eller gåfva förfoga deröfver.</w:t>
        <w:br/>
        <w:br/>
        <w:t>Då man talar om principer, vill jag äfven erinra om den ganska vigtiga principen i vår lagstiftning, att något af den förmögenhet, som finnes inom en slägt eller en familj, skall bevaras åt familjen. Denna princip är uttalad i vår testamentsrätt, som säger, att ingen, som har bröstarfvinge, får förfoga öfver mera än hälften af förmögenheten. Härifrån skulle man nu afvika, och principen skulle lätt eluderas blott genom att en qvinna läte anteckna i kyrkoboken, att det och det</w:t>
        <w:br/>
        <w:br/>
        <w:t xml:space="preserve">barnet vore </w:t>
      </w:r>
      <w:r>
        <w:rPr>
          <w:b/>
        </w:rPr>
        <w:t>hennes²</w:t>
      </w:r>
      <w:r>
        <w:rPr>
          <w:b w:val="0"/>
        </w:rPr>
        <w:t xml:space="preserve">, hvarefter detta skulle få arfsrätt lika med äkta barn. Derigenom vore principen, att laglotten skulle bevaras åt de äkta barnen, till spillo gifven. För min del kan jag icke finna mig upprörd öfver den förfärliga orättvisa, som skulle ligga deri, att det oäkta barnet icke får ärfva något af det, som utgör äkta barns laglott, eftersom ju de äkta barnen, genom </w:t>
      </w:r>
      <w:r>
        <w:rPr>
          <w:b/>
        </w:rPr>
        <w:t>moderns²</w:t>
      </w:r>
      <w:r>
        <w:rPr>
          <w:b w:val="0"/>
        </w:rPr>
        <w:t xml:space="preserve"> testamente till förmån för oäkta barn, kunna blifva förlustiga allt det, som icke är deras laglott. Jag kan derför icke finna, att tillräckliga skäl föreligga för en hemställan i detta syfte, vare sig såsom lagutskottet eller reservanterna föreslagit, utan anser jag, att lagen är god, sådan den är, och står i fullständig harmoni både med vår testamentsrätt och gammal ursyensk lag och sed, att den förmögenhet, som finnes i en familj, skall, åtminstone till någon del, bibehållas inom densamma, För min del yrkar jag således afslag å såväl lagutskottets som reservanternas hemställan.</w:t>
      </w:r>
    </w:p>
    <w:p>
      <w:pPr>
        <w:pStyle w:val="Heading2"/>
      </w:pPr>
      <w:r>
        <w:t>8. Gustaf Rudebeck (Första kammarens protektionistiska parti, man)</w:t>
      </w:r>
    </w:p>
    <w:p>
      <w:r>
        <w:rPr>
          <w:b w:val="0"/>
        </w:rPr>
        <w:t>Jag har icke kunnat underlåta att begära ordet för att uttala min mening i denna fråga, då den onekligen är mycket vigtig och mycket betydelsefull.</w:t>
        <w:br/>
        <w:br/>
        <w:t xml:space="preserve">Jag kan naturligtvis icke annat än till fullo erkänna rigtigheten af många af de uttalanden, som gjordes af den ärade talare, som först hade ordet. Om jag det oaktadt mot honom är af skiljaktig mening i denna fråga, är det icke derför, att jag i någon mån har andra åsigter än han i afseende å skyldigheten att beakta sedlighetens kraf. Men jag har också den uppfattningen, att det är lagstiftarens skyldighet att tillse, att orättvisor förekommas, så vidt sådant kan låta sig göra, naturligtvis utan att i ringaste mån sedlighetens anspråk derigenom varda tillbakasatta. Om jag hade den föreställningen, att genom ett bifall till den reservation, som afgifvits af herr Berlin m. fl., man skulle träda öfver råmärken, som böra iakttagas för att tillgodose sedlighetens intressen, skulle jag icke ansluta mig till den. Men etter min öfvertygelse gör man det icke. Om jag nu Törst berör det förslag, som herr Hasselrots reservation innehåller, och dervid beder tå fråga, huru mycket som hittills egentligen vunnits genom den åtgärd, som redan nu är bestämd och i denna reservation åter upptages såsom vilkor för det oäkta barnets arfsrätt, nemligen att modern skall låta anteckna barnet i kyrkoboken såsom sitt, tror jag, att en hvar skall medgifva, att denna bestämmelse föga gagnar och att det är i högst få fall en sådan anteckning skett. Visserligen hörde jag af lagutskottets ärade ordförande, att inom det stift, han tillhör, iakttages ett förfarande från presterskapets sida, som i ganska betydlig mån supplerar den otillräckliga bestämmelsen om anteckning i kyrkoboken för vinnande af arfsrätt. Men jag vågar påstå, att ett sådant tillvägagående sker åtminstone icke ötverallt, och jag tror, avt många presier skola medgifva, att det, såsom jag sade, är högst få fall, som verkligen blifva antecknade. Är det lagstiftarens mening — och det är det ju — att i viss mån de oäkta barnen skola få arfsrätt efter sin </w:t>
      </w:r>
      <w:r>
        <w:rPr>
          <w:b/>
        </w:rPr>
        <w:t>moder²</w:t>
      </w:r>
      <w:r>
        <w:rPr>
          <w:b w:val="0"/>
        </w:rPr>
        <w:t>, då bör enligt mitt förmenande lagstiftaren också se till, att denna mening blir förverkligad. Han bör följaktligen icke för vinnande af den</w:t>
        <w:br/>
        <w:br/>
        <w:t xml:space="preserve">rätt, han vill gifva, stadga en form, som är otillräcklig för ändamålet, utan han bör gifva formen en större utsträckning, bör, med ett ord, se till, att rätten blir förverkligad. Så är emellertid i de flesta fall med nuvararde bestämmelse icke förhållandet och blifver det icke heller med den affattning, som innehålles i herr Hasselrots m. f:s reservation, men detta mål kan vinnas i icke oväsentlig mån genom bifall till den af herr Berlin m. fl. afgifna reservationen. Det har sagts, att konseqvensen utaf ett bifall till herr Berlins reservation skulle medföra ett berättigadt anspråk från de oäkta barnen på arf äfven efter fader. Jag får bekänna, att jag icke förstår, huru man kommer till en sådan konseqvens. Enligt min uppfattning innebär lagförändringen ej annat, än att lagstiftaren vill göra det mera möjligt än hittills för det oäkta barnet att få den arfsrätt, som lagstiftaren sagt, att det bör hafva. Detta synes mig ock vara en skyldighet för lagstiftaren. Och vi skola tänka på de förhållanden, under hvilka i de flesta fall modern till det oäkta barnet lefver; vi skola erinra oss de omständigheter, hvilka dervid förefionas, </w:t>
      </w:r>
      <w:r>
        <w:rPr>
          <w:b/>
        </w:rPr>
        <w:t>hennes²</w:t>
      </w:r>
      <w:r>
        <w:rPr>
          <w:b w:val="0"/>
        </w:rPr>
        <w:t xml:space="preserve"> okunnighet om lagens bestämmelser och </w:t>
      </w:r>
      <w:r>
        <w:rPr>
          <w:b/>
        </w:rPr>
        <w:t>hennes²</w:t>
      </w:r>
      <w:r>
        <w:rPr>
          <w:b w:val="0"/>
        </w:rPr>
        <w:t xml:space="preserve"> missuppfattning, att i och med det att barnet blifvit antecknadt i och för dopet, har äfven den anteckning skett, som fordras för barnets arfsrätt. Barnet föres mången gång, medan modern ännu är sjuk, till dopet och antecknas i kyrkoboken, och jag vet exempel på, att modern haft den föreställningen, att i och med detta tillvägagående har också iakttagits det, som lagen föreskrifver för bevarande af barnets rätt till arf. Den nuvarande formen är således efter mitt förmenande icke till fyllest, och derför vågar jag, fullt öfvertygad om, att man icke med skäl kan säga, att genom en utsträckning af denna form på det sätt, herr Berlin och de, som med honom instämt, föreslagit, förbises sedligbetens strängaste fordringar, yrka bifall till den af herr Berlin m. fl. afgifna reservationen.</w:t>
      </w:r>
    </w:p>
    <w:p>
      <w:pPr>
        <w:pStyle w:val="Heading2"/>
      </w:pPr>
      <w:r>
        <w:t>9. Carl Pettersson (Första kammarens protektionistiska parti, man)</w:t>
      </w:r>
    </w:p>
    <w:p>
      <w:r>
        <w:rPr>
          <w:b w:val="0"/>
        </w:rPr>
        <w:t>Den lag eller rättare den kongl. förordning, hvars förbättring nu är i fråga, kan jag för min del icke anse vara något godt minne från den sista ståndsriksdagen. Det gäller nu en påbyggnad af den kongl. förordningen af den 14 april 1866, enligt hvilken de oäkta barnen fingo rättigheter, som lagen dittills förnekat dem; och jag undrar storligen, om det förslag, som frambragte denna kongl. förordning, gått så bra igenom, i fall det framkommit i det nya statsskickets tid. Jag har anledning att undra derpå på grund af några omständigheter, hvaribland jag kan nämna två, den ena, att Riksdagen vid de tillfällen, då det varit fråga om förbättring utaf den kongl. förordningen af den 14 april 1866 icke visat någon böjelse att fortgå vidare på den vägen, och den andra, att när det varit fråga om att personer, tillhörande svenska kyrkan, skuile få lemna denna utan att uppgifva något bestämdt samfund, dit de ville öfvergå, har denna kammare med ett energiskt nej satt sig deremot.</w:t>
        <w:br/>
        <w:br/>
        <w:t>Nå, men hindrar man icke samhällets utveckling på det sättet? Ja, det finnes olika intressen i samhället. Det kan finnas penningintressen, t. ex. i grundskattefrågor, tulloch bevillningsfrågor. Detta gäller dock endast penningar, och sådana kunna förloras, sådana kunna</w:t>
        <w:br/>
        <w:br/>
        <w:t>vinnas. Men de två saker, som jag nyss nämnde, äro sambällets vitalfrågor, ty när det gäller den kristliga tron eller familjelifvets helgd, äro vi inne på ett område, der lagstiftaren bör noga betänka sig vid de steg, han tager.</w:t>
        <w:br/>
        <w:br/>
        <w:t xml:space="preserve">Lagutskottet har en mycket besynnerlig motivering, men jag skall icke inlåta mig på denna, emedan denna Riksdags lagutskott är temligen oskyldigt. Lagutskottet säger, att det "tillåter sig att i huivudsak återgifva hvad föregående Riksdagars lagutskott, då de haft att afgifva förberedande utlåtanden öfver motioner i ämnet, vid skilda tillfällen uttalat". Således har denna Riksdags lagutskott hufvudsakligen repeterat hvad föregående Riksdagars lagutskott yttrat och bör således icke stå i något särskildt ansvar. Emellertid beder jag att få påpeka hvad lagutskottet säger i sin motivering bland annat: «Af de mångfaldiga yttre skrankor, med hvilka familjen i äldre tider omgärdades, hafva de flesta såsom föråldrade och icke motsvarande den stigande kulturens kraf längesedan försvunnit." Och vidare säges, att "lagstiftningen bör öfvergå till en ståndpunkt, som mera öfverensstämmer med nyare tiders åskådningar". Och på grund af att vi måste följa med den stigande kulturens fordringar och nyare tiders åskådningar behöfva vi naturligtvis icke fästa oss något vid vitalfrågor om familjelifvet och dess helgd, i följd hvaraf lagutskottet tillstyrker bifall till den ärade motionärens framställning på det sätt, att en skrifvelse skulle afgå till Kongl. Maj:t. Men de ledamöter i lagutskottet, som äro insatta från denna kammare, hafva visat sig gensträfviga och vilja icke gå så långt, som lagutskottet föreslagit. Dock ha de intet emot att taga ett steg vidare, fastän blott ett litet steg. Motionären deremot bar tydligt visat, att han vill gå mycket långt, och den förste talaren anförde i detta afseende ett utdrag ur hans motion. Han kunde gerna hafva tillagt hvad som står på sid. 7 i betänkandet, der det visar sig, att motionären har stora framtidsplaner. Han säger nemligen: "Ej heller skall jag föreslå borttagandet af arfsrättens begränsning till barn, som ej äro aflade under </w:t>
      </w:r>
      <w:r>
        <w:rPr>
          <w:b/>
        </w:rPr>
        <w:t>moderns²</w:t>
      </w:r>
      <w:r>
        <w:rPr>
          <w:b w:val="0"/>
        </w:rPr>
        <w:t xml:space="preserve"> äktenskap eller i blodskam. Stadgandet är visserligen principielt origtigt" etc. Så skall det låta. Men då man vunnit ett steg, tager man om något år ett steg till, om ytterligare något år ännu ett steg, och möjligtvis kan man slutligen komma något längre, än motionären antydt, ty det låter ju tänka sig, att en motionär i framtiden säger: dessa arma barn äro så oskyldigt lidande; de äkta få uppfostran i hemmet, de oäkta hafva ingenting fått; då nu arfvet skall delas, böra de oäkta hafva större del, emedan de blifvit tillbakasatta i sin uppfostran. För oss nu lefvande förefaller detta alldeles uppåt väggarna orimligt; men man går ett steg i dag och ett steg i morgon, och slutligen kommer man till familjelifvets upplösning. Men detta är detsamma som statens upplösning.</w:t>
        <w:br/>
        <w:br/>
        <w:t>Något vidare har jag icke att tillägga. Men då lagutskottet håller på den stigande kulturens kraf" och "nyare tiders åskådningar'", skall jag bedja att få framdraga ett mycket sorgligt exempel på dessa kraf och åskådningar, som jag läst i ett utdrag ur en skrift, som professor Mörner utgifvit om fosforförgiftning i Sverige. Det hör icke precis till ämnet, men det är betecknande och det är blott några rader,</w:t>
        <w:br/>
        <w:br/>
        <w:t>som jag vill läsa upp. Förgiftningsdödsfallen af fosfor visade under nedannämnda 5-årsperioder, enligt rapporter till medicinalstyrelsen, följande freqvenssiffror:</w:t>
        <w:br/>
        <w:br/>
        <w:t>Detta hör förmodligen också till «den stigande kulturens kraf&lt; och "nyare tiders åskådningar". Herr grefve och talman, jag har intet yrkande att göra.</w:t>
      </w:r>
    </w:p>
    <w:p>
      <w:pPr>
        <w:pStyle w:val="Heading2"/>
      </w:pPr>
      <w:r>
        <w:t>10. Sigfrid Wieselgren (–, man)</w:t>
      </w:r>
    </w:p>
    <w:p>
      <w:r>
        <w:rPr>
          <w:b w:val="0"/>
        </w:rPr>
        <w:t>Jag tror man skulle behöfva påminna en och annan af föregående talare om den gamla sentensen, att den, som bevisar för mycket, bevisar ingenting.</w:t>
        <w:br/>
        <w:br/>
        <w:t>Detta betänkande rör visserligen icke en så väldig fråga, att vi här skulle hafva att besluta öfver samhällets upplösning eller dess vidmagthållande. Det är en vida mindre fråga än så; men det är ändå en stor fråga, derför att den berör rättvisan. Här har talats om, att den nu gällande lagen skulle hafva sin egentliga betydelse såsom förestafvad af sedlighetens intresse. Jag har då med verklig tillfredsställelse hört den ärade talaren på nerikesbänken uttala en derifrån något afvikande uppfattning; och för så vidt jag känner vår gamla rättshistoria, är det han, som har rätt, och de, som talat så mycket om sedligheten, hafva tagit frågan litet grand på sned. Ty den egentliga grunden för denna lagstiftning ligger, såsom han ganska rigtigt antydde, i omsorgen att bevara åt familjen dess egodelar. Det är således en ekonomisk fråga och det är ekonomiska intressen, som hafva rättshistoriskt formulerat lagstiftningen i denna punkt. Såsom vi veta, voro icke våra förfäder några dygdemönster i sedligt afseende. Oäkta barn hörde till ordningen för dagen, och ingen, som känner vår historia, saknar kännedom om, att äfven bland våra mest högstående slägter till och med upp till konungaslägterna voro de oäkta barnen mycket ofta förekommande. Men samtidigt förefans ett mycket starkt intresse att bibehålla jordegendomen — det var hufvudsakligen sådan egendom, som fans — ostyckad och lemna den qvar åt familjen, till hvilken dessa oäkta telningar icke hörde.</w:t>
        <w:br/>
        <w:br/>
        <w:t>Jag tror det är ett bevis på stigande kultur och stigande känsla af rättfärdighet, att vi numera försöka att öfver de ekonomiska intressena sätta de sedliga intressena; och långt ifrån att utskottsförslagets godkännande skulle vara att lagstifta i osedlig rigtning, är det min bestämda öfvertygelse, att vi derigenom skola lagstifta i sedlig rigtning. Det är mera sedligt, det är att tillvinna sedligheten större rätt, om vi försöka att åt skuldlösa oäkta barn göra rättvisa, än om vi med tal om principer och dylikt försöka bibehålla en mot dem alltför länge utöfvad orättvisa. Man säger, att här är så mycket lidande i verlden, här finnas vanskapliga barn och andra, som lida</w:t>
        <w:br/>
        <w:br/>
        <w:t xml:space="preserve">nöd och elände. Och detta kunna vi icke hjelpa. Men är detta ett skäl att icke hjelpa dem vi kunna hjelpa? Lagstiftningen kan icke hindra, att barn födas vanskapliga. Ar det ett skäl för, att lagstiftningen icke skall hjelpa oäkta barn till arfsrätt efter </w:t>
      </w:r>
      <w:r>
        <w:rPr>
          <w:b/>
        </w:rPr>
        <w:t>moder²</w:t>
      </w:r>
      <w:r>
        <w:rPr>
          <w:b w:val="0"/>
        </w:rPr>
        <w:t xml:space="preserve"> och mödernefränder? Här är det icke fråga om, att icke lagstiftningen kan göra det, utan den kan det verkligen; ingen kan bestrida det.</w:t>
        <w:br/>
        <w:br/>
        <w:t>Flere talare hafva förut yttrat sig i samma rigtning som jag, och jag skall derför icke vidare ingå på saken. Jag vill endast uttrycka min bestämda öfvertygelse, att de, som försökt att öfver denna fråga lägga ett odiöst ljus, derigenom att de uttagit en och annan oförsigtig och kanske icke menad mening ur motionärens eller något föregående lagutskotts uttalande, synas mig icke haft rätt att på detta sätt ställa i en falsk dager den åtgärd, som här är åsyftad. Ty den är, jag upprepar det, verkligen icke skyldig att uppbära sådana anklagelser.</w:t>
        <w:br/>
        <w:br/>
        <w:t>Jag skulle icke hafva något emot att förena mig med grefve Hamilton i hans yrkande; men då flertalet af de talare, som uppträdt, stannat vid att yrka bifall till herr Berlins reservation, skall jag bedja att få instämma med dem.</w:t>
      </w:r>
    </w:p>
    <w:p>
      <w:pPr>
        <w:pStyle w:val="Heading2"/>
      </w:pPr>
      <w:r>
        <w:t>11. Hugo Hedenstierna (Första kammarens protektionistiska parti, man)</w:t>
      </w:r>
    </w:p>
    <w:p>
      <w:r>
        <w:rPr>
          <w:b w:val="0"/>
        </w:rPr>
        <w:t>Hvad den siste ärade talaren anfört har icke på något sätt kunnat förmå mig att ändra mening, utan jag står fortfarande på samma ståndpunkt, som jag intog, då jag aflemnade min reservation inom utskottet.</w:t>
        <w:br/>
        <w:br/>
        <w:t>Grunden till min åsigt är densamma, som den förste talaren så vältaligt gaf uttryck åt, då han omnämnde denna frågas historiska utveckling i vårt land.</w:t>
        <w:br/>
        <w:br/>
        <w:t xml:space="preserve">Det har af många talare framhållits, att man, för den händelse man nu icke ville bifalla lagutskottets förslag, eller om man icke ville afslå motionen, dock skulle kunna nöja sig med den af herr Berlin m. fl. afgifna reservationen. Jag vill då återkalla i herrarnes minne, hvad denna reservation innehåller. Den går ut på, att det skall kunna med bevis styrkas, att modern erkänt barnet såsom sitt. För min del anser jag en bestämmelse i sådan rigtning vara ganska farlig. Vi veta, att den nuvarande lagstiftningen fordrar ett uttalande från </w:t>
      </w:r>
      <w:r>
        <w:rPr>
          <w:b/>
        </w:rPr>
        <w:t>moderns²</w:t>
      </w:r>
      <w:r>
        <w:rPr>
          <w:b w:val="0"/>
        </w:rPr>
        <w:t xml:space="preserve"> sida till den statens och kyrkans gemensamma embetsman, som helgar familjebanden, att </w:t>
      </w:r>
      <w:r>
        <w:rPr>
          <w:b/>
        </w:rPr>
        <w:t>hon²</w:t>
      </w:r>
      <w:r>
        <w:rPr>
          <w:b w:val="0"/>
        </w:rPr>
        <w:t xml:space="preserve"> erkänner barnet såsom sitt, hvarigenom </w:t>
      </w:r>
      <w:r>
        <w:rPr>
          <w:b/>
        </w:rPr>
        <w:t>hon²</w:t>
      </w:r>
      <w:r>
        <w:rPr>
          <w:b w:val="0"/>
        </w:rPr>
        <w:t xml:space="preserve"> i och med detsamma förklarar, att </w:t>
      </w:r>
      <w:r>
        <w:rPr>
          <w:b/>
        </w:rPr>
        <w:t>hon²</w:t>
      </w:r>
      <w:r>
        <w:rPr>
          <w:b w:val="0"/>
        </w:rPr>
        <w:t xml:space="preserve"> upptager barnet i arfsberättigadt förhållande, delvis som om det vore ett äkta barn.</w:t>
        <w:br/>
        <w:br/>
        <w:t xml:space="preserve">Jag för min del vill gå något längre. Jag vill gifva det oäkta barnet samma arfsrätt som det äkta, men jag vill icke vara med om att godkänna den principen, att utöfver detta offentliga erkännande af barnet inför kyrkans och statens embetsman tillåta bevisning om något annat förhållande. Vi kunna ju t. ex. tänka oss, att en qvinna kort tid efter det </w:t>
      </w:r>
      <w:r>
        <w:rPr>
          <w:b/>
        </w:rPr>
        <w:t>hon²</w:t>
      </w:r>
      <w:r>
        <w:rPr>
          <w:b w:val="0"/>
        </w:rPr>
        <w:t xml:space="preserve"> födt till verlden ett barn, afladt i s. k. lönskaläge, ingår äktenskap med en annan person än fadern till detta barn samt föder barn i detta äktenskap. Aflider </w:t>
      </w:r>
      <w:r>
        <w:rPr>
          <w:b/>
        </w:rPr>
        <w:t>hon²</w:t>
      </w:r>
      <w:r>
        <w:rPr>
          <w:b w:val="0"/>
        </w:rPr>
        <w:t xml:space="preserve"> derefter, har familjen intet sätt att förvissa sig om, att andra arfvingar finnas än de, som äro upptagna i kyrkoboken. Man kan ju då också tänka sig, att ett arfsanspråk framkommer efter 15, 20 års förlopp. Den efterlefvande</w:t>
        <w:br/>
        <w:br/>
        <w:t>maken och barnen kunna då sins emellan hafva delat fast och lös egendom, denna kan sedermera hafva öfvergått i andra personers</w:t>
        <w:br/>
        <w:br/>
        <w:t>rörande oäkta händer eller ock till en del hafva blifvit förbrukad. Litet hvar inser barns arfsrätt, Nog, hvilka förvecklingar och hvilken oändlighet af processer och</w:t>
        <w:br/>
        <w:br/>
        <w:t>tvister, som skulle kunna föranledas deraf, att man, då husmodern fölle ifrån, icke genast kunde förvissa sig om, hvilka som vore arfvingar i boet, utan att afgörandet af denna fråga skulle vara öfverlåtet till en oviss framtid, när arfsanspråk framkomma. En sådan kännedom vore deremot lätt att erhålla, om man endast hade att gå till kyrkoboken och se efter, om modern hade låtit anteckna barnet såsom sitt.</w:t>
        <w:br/>
        <w:br/>
        <w:t>Då jag, som sagdt, icke kunnat känna mig öfvertygad af de skäl, som från det motsatta lägret blifvit framstälda, utan fortfarande qvarstår på den ståndpunkt, som herrar Hasselrot och Lundström samt jag intagit uti den af oss afgifna reservationen, ber jag att få yrka bifall till densamma.</w:t>
      </w:r>
    </w:p>
    <w:p>
      <w:pPr>
        <w:pStyle w:val="Heading2"/>
      </w:pPr>
      <w:r>
        <w:t>12. Oscar Bremberg (Första kammarens minoritetsparti, man)</w:t>
      </w:r>
    </w:p>
    <w:p>
      <w:r>
        <w:rPr>
          <w:b w:val="0"/>
        </w:rPr>
        <w:t>Jag skall inskränka mig till att instämma uti hvad grefve Hamilton yttrat samt anhåller alltså att få yrka bifall till utskottets hemställan.</w:t>
      </w:r>
    </w:p>
    <w:p>
      <w:pPr>
        <w:pStyle w:val="Heading2"/>
      </w:pPr>
      <w:r>
        <w:t>13. Carl Birger Hasselrot (–, man)</w:t>
      </w:r>
    </w:p>
    <w:p>
      <w:r>
        <w:rPr>
          <w:b w:val="0"/>
        </w:rPr>
        <w:t xml:space="preserve">Det var min ärade embetsbroders på vermlandsbänken nyss uttalade uppfattning, som närmast gaf mig anledning att åter begära ordet. Han gjorde nemligen gällande, att ett bifall till herr Berlins m. ff. reservation icke skulle vara ett steg utöfver den princip, som jag och mina medreservanter uttalat oss för, eller åtminstone, att det icke skulle utgöra någon vidare farlig utveckling af densamma. Jag ber att i detta afseende få påpeka, att, så som de oäkta barnens artsrätt i vårt land är stadgad, det icke är något annat än en förklädd testamentsrätt. Det är </w:t>
      </w:r>
      <w:r>
        <w:rPr>
          <w:b/>
        </w:rPr>
        <w:t>moderns²</w:t>
      </w:r>
      <w:r>
        <w:rPr>
          <w:b w:val="0"/>
        </w:rPr>
        <w:t xml:space="preserve"> rätt att på visst i lagen bestämdt sätt förklara, att </w:t>
      </w:r>
      <w:r>
        <w:rPr>
          <w:b/>
        </w:rPr>
        <w:t>hon²</w:t>
      </w:r>
      <w:r>
        <w:rPr>
          <w:b w:val="0"/>
        </w:rPr>
        <w:t xml:space="preserve"> gifver sitt oäkta barn rätt till sin qvarlåtenskap. Vill man nu gifva detta barn arfsrätt, icke på grund af </w:t>
      </w:r>
      <w:r>
        <w:rPr>
          <w:b/>
        </w:rPr>
        <w:t>moderns²</w:t>
      </w:r>
      <w:r>
        <w:rPr>
          <w:b w:val="0"/>
        </w:rPr>
        <w:t xml:space="preserve"> förklaring, att </w:t>
      </w:r>
      <w:r>
        <w:rPr>
          <w:b/>
        </w:rPr>
        <w:t>hon²</w:t>
      </w:r>
      <w:r>
        <w:rPr>
          <w:b w:val="0"/>
        </w:rPr>
        <w:t xml:space="preserve"> gifver det en dylik rätt, utan blott på den grund, att </w:t>
      </w:r>
      <w:r>
        <w:rPr>
          <w:b/>
        </w:rPr>
        <w:t>hon²</w:t>
      </w:r>
      <w:r>
        <w:rPr>
          <w:b w:val="0"/>
        </w:rPr>
        <w:t xml:space="preserve"> erkänner barnet såsom sitt, så är detta något helt väsentligt annorlunda, Ty i samma stund proklamerar man en verklig arfsrätt för oäkta barn, och arfsanspråken böra blifva lika berättigade, vare sig modern vill medgifva en dylik rätt eller icke. Modern behöfver enligt deras uppfattning endast medgifva, att barnet är </w:t>
      </w:r>
      <w:r>
        <w:rPr>
          <w:b/>
        </w:rPr>
        <w:t>hennes²</w:t>
      </w:r>
      <w:r>
        <w:rPr>
          <w:b w:val="0"/>
        </w:rPr>
        <w:t xml:space="preserve">, men icke, att det skall hafva rätt att taga arf efter </w:t>
      </w:r>
      <w:r>
        <w:rPr>
          <w:b/>
        </w:rPr>
        <w:t>henne²</w:t>
      </w:r>
      <w:r>
        <w:rPr>
          <w:b w:val="0"/>
        </w:rPr>
        <w:t xml:space="preserve">. Detta är den väsentliga, principiella skilnaden mellan de båda reservationerna. Och jag vågar fortfarande påstå, att, om man gått det ena lilla steget och sagt, att det oäkta barnet skall hafva arfsrätt, så snart bevisas kan, att modern erkänt det, arfsrätt också måste tillerkännas det oäkta barnet, äfven om modern icke gjort detta erkännande, blott barnet kan bevisa, att det är barn till qvionan i fråga. Och har ett oäkta barn på grund af en allmän i lag stadgad grundsats rätt till arf efter </w:t>
      </w:r>
      <w:r>
        <w:rPr>
          <w:b/>
        </w:rPr>
        <w:t>moder²</w:t>
      </w:r>
      <w:r>
        <w:rPr>
          <w:b w:val="0"/>
        </w:rPr>
        <w:t>, vet jag rakt icke, hvarför icke ett sådant barn äfven skulle få taga arf efter fader, då barnet kan bevisa, att det är barn till den och den fadern. Detta är just den fara, som ligger uti att</w:t>
        <w:br/>
        <w:br/>
        <w:t>taga ett litet steg öfver gränsen, hvarigenom man går ifrån den fasta Om ändring grundval, på hvilken man nu står. 2 Glan</w:t>
        <w:br/>
        <w:br/>
        <w:t>Då min öfvertygelse sålunda är, att fältet är öppet, blott man rörande oäkté aldrig så litet lemnar principen, tillåter jag mig att fortfarande yrka barns arfsrätt.</w:t>
        <w:br/>
        <w:br/>
        <w:t>bifall till vår reservation. (Forts.)</w:t>
      </w:r>
    </w:p>
    <w:p>
      <w:pPr>
        <w:pStyle w:val="Heading2"/>
      </w:pPr>
      <w:r>
        <w:t>14. unknown (–, –)</w:t>
      </w:r>
    </w:p>
    <w:p>
      <w:r>
        <w:rPr>
          <w:b w:val="0"/>
        </w:rPr>
        <w:t>Efter den långa diskussion, som här förekommit, skall jag icke tillåta mig att säga många ord. Men då jag icke förut inom Riksdagen yttrat mig i denna fråga, känner jag en önskan att uttala min uppfattning.</w:t>
        <w:br/>
        <w:br/>
        <w:t>Jag skall dervid be att få meddela, att jag obetingadt står på den ståndpunkt, som motionären, lagutskottet och reservanterna gemensamt intagit, då de ansett, att de oäkta barnens arfsrätt borde utsträckas. Såsom skäl för denna min åsigt skall jag icke framhålla några principiella doktriner, utan endast åberopa ett uttalande af motionären, hvilket af en ärad talare här förut blifvit med en viss reservation omnämndt, men som jag för min del obetingadt gillar. Det heter nemligen i motionen bland annat: "Efter min uppfattning borde det vara en af de högsta uppgifter för samhället att i möjligaste måtto söka förekomma och häfva allt oskyldigt lidande. Och ingen kan väl påstå, att den oäkta föddes ställning af förskjuten och tillbakasatt ej är ett oskyldigt lidande.s Uti denna motivering ligger en sanning och rättvisa, som jag anser, att lagstiftaren måste beakta.</w:t>
        <w:br/>
        <w:br/>
        <w:t xml:space="preserve">Men ehuru jag visserligen icke skulle hysa betänkligheter för att ansluta mig till utskottets förslag, skall jag dock, då jag icke tror, att det förslaget har utsigt att vinna framgång, nöja mig med hvad reservanterna hafva föreslagit. Och då jag så skall välja mellan dessa båda reservationer, må jag säga, att jag obetingadt sluter mig till den af herr Berlin m. fl. afgifna reservationen. Uti båda framhålles såsom vilkor, att modern skall erkänna barnet såsom sitt. Men under det att herr Hasselrot m. fl. erkänner detta vilkor såsom uppfyldt .endast på eft enda sätt, nemligen genom anteckning i kyrkoboken, så lemna de andra reservanterna öppet, att erkännandet kan ske äfven på annat sätt. Jag förstår verkligen icke, hvarför man skall utesluta möjligheten till annan laga bevisning än den enda, af herr Hasselrot föreslagna. Modern kan ju vara i den belägenheten, att </w:t>
      </w:r>
      <w:r>
        <w:rPr>
          <w:b/>
        </w:rPr>
        <w:t>hon²</w:t>
      </w:r>
      <w:r>
        <w:rPr>
          <w:b w:val="0"/>
        </w:rPr>
        <w:t xml:space="preserve"> aldrig någonsin kan komma i tillfälle att låta anteckna barnet i kyrkoboken. Och hvarför skall icke den bevisning, som ligger i en rättegång om </w:t>
      </w:r>
      <w:r>
        <w:rPr>
          <w:b/>
        </w:rPr>
        <w:t>moderns²</w:t>
      </w:r>
      <w:r>
        <w:rPr>
          <w:b w:val="0"/>
        </w:rPr>
        <w:t xml:space="preserve"> anspråk &amp; utfående af uppfostringsbjelp till barnet, eller ett erkännande af modern i tvenne vittnens närvaro, att barnet är </w:t>
      </w:r>
      <w:r>
        <w:rPr>
          <w:b/>
        </w:rPr>
        <w:t>hennes²</w:t>
      </w:r>
      <w:r>
        <w:rPr>
          <w:b w:val="0"/>
        </w:rPr>
        <w:t>, vara fullkomligt lika bindande som denna anteckning i kyrkoboken?</w:t>
        <w:br/>
        <w:br/>
        <w:t>Jag skall icke tillägga mera, utan anhåller endast att få yrka bifall till herr Berlins m. fl. reservation.</w:t>
        <w:br/>
        <w:br/>
        <w:t>het att deltaga lagen angående skyldighet att deltaga i kostnaden för byggnad och</w:t>
        <w:br/>
        <w:br/>
        <w:t>Lagutskottet tillstyrkte i fjol enhälligt och jag deltog deri, att den nuvarande bestämmelsen om en fjerdedel skulle ändras till hälften; men denna kammare afslog då lagutskottets hemställan. Då det synes mig vara olämpligt, att Riksdagen uti icke principiella frågor redan</w:t>
        <w:br/>
        <w:br/>
        <w:t>efter ett år fattar ett annat beslut än under det föregående, hvarför Om ändring jag måste anse motionärernas förnyade framställning vara mindre hänsyns- ” logen der full mot denna kammare, får jag på sådan grund yrka afslag å po an deltara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