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w:t>
      </w:r>
    </w:p>
    <w:p>
      <w:r>
        <w:rPr>
          <w:b/>
        </w:rPr>
        <w:t xml:space="preserve">Datum: </w:t>
      </w:r>
      <w:r>
        <w:t>1902-03-19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Moberg (Första kammarens protektionistiska parti, man)</w:t>
      </w:r>
    </w:p>
    <w:p>
      <w:r>
        <w:rPr>
          <w:b w:val="0"/>
        </w:rPr>
        <w:t>Det är en erfarenhet, som man ofta får göra i Riksdagen, att när derigenom, att en lag antingen varder missförstådd eller också ej behörigen tillämpad, missförhållanden uppträda på en eller annan ort, så söker man botemedlet genom att komma till Riksdagen med förslag om lagens ändring i stället för att efterse, om detsamma ej kan vinnas genom uppmärksammande af hvad sjelfva lagen innehåller. Så också i förevarande fall, både med afseende å motionen och utskottets betänkande. Under åberopande af vissa fall, der en olämplig utdelning af sparbanksmedel ifrågakommit, har man dragit den slutsatsen, att man borde genom lagändring söka bot för det öfverklagade förhållandet, och för nödvändigheten af sådant ändringssökande först åberopat det skälet, att Konungens befallningshafvande ej utöfvar det åliggande, som enligt sparbankslagen Konungens befallningshafvande tillkommer.</w:t>
        <w:br/>
        <w:br/>
        <w:t>Motionären har icke sagt, att juridiskt detta åliggande icke tillhör Konungens befallningshafvande, utan han säger, att lagens bestämmelse, att hufvudmännens beslut i detta fall skall underställas Konungens befallningshafvande, innebär faktiskt ingen garanti emot att sparbanksvinstmedel användas på ofvan angifvet sätt, enär Konungens befallningshafvande helt. enkelt inskränker sig till en formel pröfning af huruvida ett beslut öfverensstämmer med lag och sparbanks reglemente.</w:t>
        <w:br/>
        <w:br/>
        <w:t>Hvad innebär detta? Jo, det innebär, att såsom sparbankslagen tillämpas, blir det ingen garanti, men motionärens yttrande innebär ej, att lagen utesluter garanti mot missbruk i antydda afseendet; och om än Konungens befallningshafvande i ett eller annat län ej behörigen utöfvat den kontroll, nämnda myndighet åligger, så torde detta ledsamma förhållande icke allmänneligen vara fallet. Konungens befallningshafvande i det län jag tillhör har alltid egnat denna saken mycket omsorgsfull pröfning, och under de 20 år, jag varit ordförande i sparbanken i Karlstad, har jag konfererat med Konungens befallningshafvande om lämpligheten af ifrågasatta utdelningar af sparbanksmedel, dervid mycket noggrann pröfning ifrågakommit, huruvida den ifrågasatta användningen af sparbanksmedel</w:t>
        <w:br/>
        <w:br/>
        <w:t>på ena eller andra sättet vore lämplig och öfverensstämmande med Om viss ändlagstiftarens mening. Nu är emellertid förhållandet, att hvarken 7ing i ig hl motionären eller utskottet och i viss mån icke heller de talare, som spasbanker. sedermera yttrat sig i frågan, hafva klargjort för sig bestämmelserna (Forts.) i den åberopade 15 $, oaktadt densamma i början af utskottets utlåtande finnes angifven. Det talas både af motionären och af utskottet om vinstmedel, som skulle utdelas, men det är ej några vinstmedel, som skola utdelas. Utskottet säger: &gt;»Om sålunda något torde böra göras till förekommande af missförhållanden i ifrågavarande afseende, skulle dock införande af ett bestämdt förbud mot utdelning af det å sparbanks rörelse uppkomna öfverskott till allmännyttigt eller välgörande ändamål enligt utskottets mening gå allt för vida. Motionärens förslag i berörda afseende torde väl ock allenast innebära, att vid hvarje års slut, sedan bokslut uppgjorts och storleken af årets vinst kunde beräknas, denna vinst med visst afdrag skulle i form af tilläggsränta utdelas till de då i banken qvarstående insättarne.&gt; Hela detta uttalande hvilar på den missuppfattningen, att utdelning af årsvinsten kan ske allt efter som vinsten varit större eller mindre, men ifrågakommande utdelning af sparbanksmedel beror icke på någon årsvinst, utan om sådan utdelning kan ifrågakomma beror på, i hvad förhållande reservfonden står till insatta beloppen. Det är likgiltigt, hvad vinstmedlen uppgå till, men när reservfonden uppgår till 10 proc. af insättarnes medel, då får utdelning ske. Vinsten kan ett år uppgå till 50,000 kr., men det är derför icke . sagdt, att det blir någon utdelning, ty om icke reservfonden uppgår till 10 proc. af insättningarna, kan någon utdelning icke ifrågakomma. Årsstämman måste derför hafva klart för sig, ej årsvinsten, utan reservfondens storlek och beloppet af de insatta medlen, och derefter bestämmes, om utdelning till välgörande ändamål kan ske. Hela resonnementet, att man utdelar vinstmedel, är derför origtigt. Det kan inträffa och det har inträffat år, då sparbanken haft ingen eller mycket liten vinst, att det ändock ifrågakommit utdelning, derför att det tagits ut så mycket af insättarne, att det visat sig, att reservfonden uppgår till 10 proc. af insättarnes medel. Af detta framgår naturligtvis, att det uppenbarligen är en stor oegentlighet, då här ifrågasättes, att det skulle göras mtdelaing till insättare af vinstmedlen. Det kan inträffa, att man under 4, 5, 6 år icke haft tillfälle att göra någon utdelning, men så kommer genom större uttagningar reseryfonden att gå öfver 10 proc. af insättarnes medel, och då kan det göras utdelning, men att tillägga insättarne densamma varder understundom alldeles oegentligt, enär desse, som vexla under årens lopp, icke alls behöfva vara desamma, då utdelning kan ske, som under de tider, då reservfonden ökats och sålunda insättarne få andel i något, som de icke varit med om att införskaffa. Det var just denna omständighet, som åberopades i motiveringen för lagstiftningen, som föran- Första Kammarens Prot. 1902. N:o 19. 3</w:t>
        <w:br/>
        <w:br/>
        <w:t xml:space="preserve">för hög ränta, detta öfverskott skulle få användas till allmännyttiga ändamål. Och, mina herrar, den bestämmelsen har varit till ofantligt stor fördel, ofantligt stor välsignelse. Hvad betydelse har det, om en insättare i sparbanken får 25 öre mera i ränta, mot det att öfverskottet användes till ett allmännyttigt ändamål. I den sparbank, der jag, såsom jag nyss nämnde, är ordförande, hafva vi användt befintliga öfverskott till grundläggande af en idiotanstalt i Vermland, inrättande af en hushållsskola för fattiga </w:t>
      </w:r>
      <w:r>
        <w:rPr>
          <w:b/>
        </w:rPr>
        <w:t>flickor²</w:t>
      </w:r>
      <w:r>
        <w:rPr>
          <w:b w:val="0"/>
        </w:rPr>
        <w:t>, arbetsstuga för fattiga barn och andra dylika allmännyttiga inrättningar. Det har kommit just sådana klasser till godo, som verkstält insättningarna, och det har efter mitt förmenande varit vida bättre, än om insättarne fått några ören mera i ränta. Icke heller får man glömma att beakta en annan omständighet, och den är, att låntagarne i sparbanken i väsentlig mån bidragit till den uppkomna vinsten, och att de böra hafva sin fördel deraf. Dessutom vill jag slutligen fästa herrarnes uppmärksamhet derpå, att vederbörande styrelser i sparbankerna åtnjuta för sitt uppdrag ingen eller ock en högst obetydlig ersättning, men hafva ett ganska ansvarsfullt och maktpåliggande uppdrag. Då de sålunda fullgöra detta uppdrag för en ringa ersättning, är det derför, att de anse sig fullgöra ett uppdrag, som skall lända ej blott insättarne, utan kommunen och provinsen till fördel. Skall åter sparbankernas verksamhet ensamt beräknas på att gifva största möjliga ränta åt insättarne, då föreställer jag mig, att icke många skola vara villiga att för en så ringa penning öda tid och påtaga sig ansvar för sparbankernas skötsel, utan då blir väl förhållandet det, att styrelserna för sparbankerna liksom för andra bankinrättningar komma att taga full betalning för sitt besvär, och så blir resultatet det, att de vinstmedel, som förut användts till allmännyttiga ändamål, komma att till betydlig del hamna i styrelsemedlemmarnes fickor. Jag kan för min del icke förstå, hvad det skulle vara för fördel med detta. TInsättarne hafva i de flesta fall fått 3,6 proc. ränta, ibland 4 proc. Förhållandet är nemligen så, att sparbankerna i vanliga fall hålla räntan en half proc. lägre än depositionsräntan hos de enskilda bankerna. Mången gång kan sparbankernas ränta vara lika hög som depositionsräntan, derigenom att sparbankernas ränta icke fluktuerar så lätt som räntan i andra banker.</w:t>
        <w:br/>
        <w:br/>
        <w:t>Hvad är det för öfrigt för logik i utskottets förslag! Man åberopar, att missförhållanden ega rum, hvaraf väl följden skulle bli yrkande derom, att dessa missförhållanden alldeles skulle stäfjas. I stället begär man nu en begränsning beträffande en del af vinstmedlen, men vid användning af återstoden skulle dessa missförhållanden få qvarstå.</w:t>
        <w:br/>
        <w:br/>
        <w:t>Herr grefve och talman, då jag icke kan finna annat, än att den föreslagna lagändringen, i stället för att vara nödig och nyttig,</w:t>
        <w:br/>
        <w:br/>
        <w:t>är onödig och onyttig, ber jag att få yrka afslag å utskottets hem- Om viss ändställan. ving 1 lagen angående sparbanker. Herr Tamm, Hugo: Det är 35 år, sedan jag kom till den Forts)</w:t>
        <w:br/>
        <w:br/>
        <w:t>trakt, der jag sedan bott, och anmodades att ingå såsom hufvudman i sparbanken der. Jag svarade då, att jag skulle göra det under det vilkoret, att man toge bort de här utdelningarna och enade sig på den grunden, att dessa medel vore insättarnes och derför borde i sin helbet förvaltas i öfverensstämmelse dermed. Men det ville man icke gå in på, utan vidhöll systemet, och jag har sedan aldrig kommit in i den banken. För mig stod då den uppfattningen klar, att hufvudsyftet med denna institution, så vidt jag kunde fatta detsamma, vore att uteslutande bereda dessa mindre insättare de fördelar, som genom sparbankerna kunde beredas dem. Jag har svårt att fatta den siste talarens argument, att om man icke skulle få göra dessa utdelningar till kommuners och provinsers bästa, skulle personer icke vilja öda tid, såsom han uttryckte sig, för att hjelpa dessa små i sin förvaltning af de insatta medlen. För mig står detta såsom en temligen stark rättsfråga. Hela min uppfattning har åtminstone varit den, som jag uttalat. Och jag skulle för min del helst vilja gå ännu längre än utskottet härutinnan. Jag skulle vilja, att man afskaffade hela detta gratifikationssystem, som drager pengar bort från insättarne, och att den behållning, som man kunde få, användes till insättarnes direkta fördel. Jag kan icke tänka mig, att det skulle ligga någon omöjlighet derutinnan att använda denna vinst på ett fördelaktigt sätt till jemnande af utdelningen eller till höjning af denna utdelning. Det är för öfrigt tider, då man får låg ränta på utlånta medel, tider då det är svårigheter för sparbankerna att placera, och då kunde vara godt att med besparingar från de fördelaktiga åren fylla hvad som kan brista under de mindre fördelaktiga. Jag tror det är det rättaste att hålla på den principen, som varit den ursprungliga, att dessa medel hopsamlas för insättarnes räkning, och att den höjning och utjemning af deras räntor och inkomster, som kan beredas genom att icke draga de s. k. vinstmedlen till främmande ändamål, på det viset är fullt rigtig.</w:t>
        <w:br/>
        <w:br/>
        <w:t>Jag tycker, att utskottet gått litet för kort, då det talar om halfvan, men då det går åt rätt håll, och jag icke kan få helan, så får jag taga halfvan och ber att få tillstyrka bifall till utskottets hemställan.</w:t>
      </w:r>
    </w:p>
    <w:p>
      <w:pPr>
        <w:pStyle w:val="Heading2"/>
      </w:pPr>
      <w:r>
        <w:t>2. Carl Nordenfalk (–, man)</w:t>
      </w:r>
    </w:p>
    <w:p>
      <w:r>
        <w:rPr>
          <w:b w:val="0"/>
        </w:rPr>
        <w:t>Det är nog icke så, som motionären och utskottet antydt, att Konungens befallningshafvandes pröfning i afseende å användandet af ifrågavarande vinstmedel blott skulle innefatta en formel pröfning af frågan, huruvida laga former blifvit vid beslutet iakttagna i öfverensstämmelse med sparbankslagens och reglementets föreskrifter, utan dervid tillses nog också att ändamålet, för hvilket vinstmedlen skulle användas, är sådant, som lagen an-</w:t>
        <w:br/>
        <w:br/>
        <w:t>gifver. Men utskottet har i min tanke rätt deri, att vanligen endast ett af dessa ändamål tillgodoses, nemligen understödjandet af allmännyttiga företag, under det att det i lagen först nämnda eller »väckande och underhållande hos mindre bemedlade insättare af håg till ökad sparsamhet» oftast lemnas ur sigte. Ja, jag känner sparbanker, om hvilka jag tror mig kunna säga, att det aldrig eller åtminstone ytterst sällsynt ifrågakommit att använda någon del af vinstmedlen för sistnämnda ändamål. Detta förhållande kan ju icke genom Konungens befallningshafvandes åtgärd rättas. In praxi går så till, att när en sparbank samlat ett visst antal tusen kronor af sådana medel, underställes denna myndighet beslutet att få använda vanligen blott en del af dem för allmännyttigt ändamål; efter något år, sedan återstoden af dessa medel tillväxt, beslutes åter en dylik hemställan, och så gång efter annan.</w:t>
        <w:br/>
        <w:br/>
        <w:t>För min del skulle jag derför icke hafva något emot en underdånig skrifvelse, som afsåge, att stadgandet om användandet af vinstmedlen till uppmuntrande af ökad sparsamhet hos mindre bemedlade komme bättre än nu till sin rätt. Men utskottet går längre och synes vilja åstadkomma en väsentlig förändring i nu gällande föreskrifter för vinstmedlens användning, i det utskottet anser, att hvad som återstode, sedan en mindre del användts för allmännyttiga eller välgörande ändamål, skulle afses för insättarne i allmänhet, af hvilka en del visserligen äro i mycket goda omständigheter, således icke för uppeggande af mindre bemedlades håg till sparsamhet. Men detta kan jag icke för min del vara med om. Jag har den uppfattningen, att nu gällande lagstiftning i detta afseende, som antagligen icke tillkommit utan noggrant öfvervägande, är välbetänkt. I tillämpningen har den väl så att säga kommit något på sned och behöfver ledas in på rätt väg, men icke ändras derhän, som utskottet föreslagit.</w:t>
        <w:br/>
        <w:br/>
        <w:t>Ser man till, huru sparbankerna uppkomma, tror jag man kan säga, att de ledande motiven derför äro dels att genom uppsamlande af besparingar inom en ort bereda tillgång till medel för lånesökandes behof, dels insigten om att, om sparbanken skötes väl, orten kan hafva den nytta deraf, att af vinstmedlen en del tillgodokommer allmännyttiga företag inom samma ort, dermed jag ej velat hafva sagdt, att ju icke härvid äfven ingår rena motiv af önskan att åvägabringa en för de mindre bemedlade nyttig inrättning. Alla dessa motiv äro ju i öfrigt fullt berättigade, och det är alldeles i sin ordning, att de, som åtaga sig ansvaret, besväret och tidsuppoffringen med stiftandet och skötseln af en sparbank, hafva den fördelen, att af dess vinstmedel någon fördel tillskyndas orten. Ått nu, såsom en del synes önska, taga bort denna fördel eller i allt för stor grad minska det belopp, som för detta ändamål kan afses, allt till fördel för insättarne i gemen, är i min tanke icke klokt och kan komma att inskränka sparbanksverksamheten, hvilken har en stor</w:t>
        <w:br/>
        <w:br/>
        <w:t>uppgift att fylla, äfven oaktadt de många tillfällen till fruktbar- Om viss ändgörande af besparingar, som under senare tider kommit till stånd. ”"”9 SJ0gen Jag yrkar sålunda afslag å utskottets skrifvelseförslag. Spa eReR.</w:t>
      </w:r>
    </w:p>
    <w:p>
      <w:pPr>
        <w:pStyle w:val="Heading2"/>
      </w:pPr>
      <w:r>
        <w:t>3. Henrik Cavalli (Första kammarens protektionistiska parti, man)</w:t>
      </w:r>
    </w:p>
    <w:p>
      <w:r>
        <w:rPr>
          <w:b w:val="0"/>
        </w:rPr>
        <w:t>Den, som åhör diskussionen i denna fråga, lär (Eorts) icke kunna vara tveksam derom, att de, som föra talan mot utskottet, medvetet eller omedvetet, underlåtit att beröra rättsprincipen i frågan.</w:t>
        <w:br/>
        <w:br/>
        <w:t>Här har talats om hvad som är lämpligt och huru sparbanksdirektionerna, sparbankernas hufvudmän och Konungens befallningshafvande skött de dessa myndigheter enligt sparbankslagen lemnade uppdrag, men rättsfrågan har lemnats å sido — helt naturligt också, ty om man gifvit sig in på den, är jag rädd, att man icke kunnat komma till den slutledning, som dessa herrar gjort.</w:t>
        <w:br/>
        <w:br/>
        <w:t>Hvad är det här fråga om? Jo, i allmänhet — der undantag ega rum, är det i viss mån på sidan om sparbankens egentliga verksamhet — om insättare, ofta mindre bemedlade, som insätta sina små besparingar, understundom endast några få kronor, i sparbanken för att göra dem fruktbärande. De få ränta på de insatta medlen, de öka sitt lilla kapital och vänja sig vid sparsamhet. Nå väl, sedan ökas detta mindre antal kronor till ett större antal, insättarne blifva flera, det uppstår behållning och vinst för sparbanken. Vi komma nu till användningen af den sålunda uppkomna vinsten. Här har uttalats den meningen, att användningen är utmärkt som den är. Men af diskussionen framgår dock, att den erhållna vinsten numera icke användes på det sätt, som lagen först omförmäler, utan uteslutande, der reglementet sådant medgifver, »för välgörande eller allmännyttigt ändamål». Detta är dock det användningssätt, som i lagen sättes i andra rummet; det, som lagen sätter i första rummet, »att öfverskottet skall användas för väckande och underhållande hos mindre bemedlade insättare af håg till ökad sparsamhet», har man i tillämpningen kommit bort ifrån. Derhän har det således kommit, den första satsen har man glömt bort, medan den sista ihågkommes. Jag förmenar således, att rättsprincipen blifvit, man kan väl säga, violerad, ty lagen stadgar först, att vinsten skall användas för att hos mindre bemedlade insättare väcka och underhålla håg till ökad sparsamhet. Den siste talaren är en Konungens befallningshafvande, och de öfrige talarne, hvilka liksom han motsatt sig utskottets hemställan, äro samtliga sparbanksdirektörer. Alla dessa hafva framhållit de synpunkter, som i deras verksamhet gjort sig gällande, och ingen har, såvidt jag uppfattat diskussionen rätt, mot den uppfattning, de framhållit, gjort någon anmärkning från deras synpunkt sedt, men jag kommer tillbaka till att principen icke iakttagits, det är den man glömt bort.</w:t>
        <w:br/>
        <w:br/>
        <w:t>Nu har det sagts, att, äfven om ett missförhållande skulle yppat sig på en eller annan ort, skäl likväl icke förefunnes för att göra ändring i sjelfva lagbestämmelserna. En sådan erinran kan väl bafva fog för sig, men hafva förhållandena å en eller annan ort</w:t>
        <w:br/>
        <w:br/>
        <w:t xml:space="preserve">visat, att tillämpningen af gällande bestämmelser icke blir sådan den bör vara, så återstår ej något annat sätt för att vinna förbättring; man nödgas vidtaga den ändring, som påkallas af omständigheterna. Med en annan uppfattning kommer man derhän, att man knappt kan ändra en lag förr än den öfverträdes i alla landsändar. MHufvudsaken är väl, att man kan påvisa så klara och otvetydiga fall, att de lämpa sig till plattform för en lagändring. Om man granskar redogörelserna för de sparbanker, som hafva så stora fonder, att utdelning får ega rum — de äro icke så många — finner man, att dessa medel användts till s. k. allmännyttiga ändamål. Jag erinrar dervid, att det icke är gifvet och klart hvad med allmännyttiga ändamål menas, och att tolkningen ej är så lätt; den är beroende på det subjektiva tycket. Den siste talaren sade, att det var nyttigt och förmånligt, att sparbanken samlade en fond för att dess ort skulle hafva gagn af sparbanken. Detta synes vara kärnpunkten. Det är den orten det gäller. Just i den orten vill man öfva välgörenhet; man vill använda penningarna till just den ortens nytta. Men hvilka hafva insatt penningarna i sparbanken? Jo, det är personer icke blott från den orten, utan från många andra i trakter der omkring. Skall, derför att mindre bemedladt tjenstfolk på landsbygden t. ex. satt in penningar i stadens sparbank, hvarpå banken skördat vinst, denna vinst kunna, sedan den uppnått en viss storlek, användas till exempelvis en högre </w:t>
      </w:r>
      <w:r>
        <w:rPr>
          <w:b/>
        </w:rPr>
        <w:t>flickskola²</w:t>
      </w:r>
      <w:r>
        <w:rPr>
          <w:b w:val="0"/>
        </w:rPr>
        <w:t xml:space="preserve"> i den stad, der sparbanken är belägen? Jag är icke tveksam, att detta icke är rätt. Det har såsom exempel på huru dessa öfverskottsmedel användts, omförmälts, bland annat, gåfvor till idiotanstalter och hushållsskolor, och jag vill icke bestrida, att dessa gåfvor skett för välgörande ändamål. Men då en talare sade, att det är bättre att använda penningarna på detta sättet, än att insättarne erhålla några öre mera, så stälde jag mig i opposition, ty de, som hafva några kronor och sätta in sina penningar i sparbanken, göra detta just för att få några ören. Idiotanstalterna och hushållsskolorna blifva säkerligen i detta land tillgodosedda, äfven om insättarne få hvad dem tillkommer. Med hvad jag nu sagt har jag — jag ber att få betona detta — icke velat uttala klander mot det sätt, hvarpå sparbanksreglementen blifvit tillämpade. Men den princip, på hvilken reglementena med en väl ensidig tillämpning af lagen äro byggda, tål vid att uppmärksammas, tål vid att skärskådas. Af hvad jag anfört framgår, att jag helst skulle se, att man kunde helt och hållet utesluta rätten att använda sparbanksmedel till s. k. allmännyttiga ändamål. Men jag skall nu endast yrka bifall till lagutskottets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