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939</w:t>
      </w:r>
    </w:p>
    <w:p>
      <w:r>
        <w:rPr>
          <w:b/>
        </w:rPr>
        <w:t xml:space="preserve">Datum: </w:t>
      </w:r>
      <w:r>
        <w:t>1903-05-06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Jakob Byström (Liberala samlingspartiet, man)</w:t>
      </w:r>
    </w:p>
    <w:p>
      <w:r>
        <w:rPr>
          <w:b w:val="0"/>
        </w:rPr>
        <w:t>Herr talman! Jag ber att få uttala mitt tacksamma erkännande gentemot utskottet för följande rader i utlåtandet: »Utskottet vill — — icke bestrida att, såsom af motionären framhållits, det under alla förhållanden vore önskvärdt, att de förevarande orden borttoges ur barnmorskereglementet&gt;. De ord, som jag vill taga bort ur nämnda reglemente, äro själfva slutorden i reglementets 15:de paragraf, nämligen orden: »År detta senare» — barnet — »svagt, må barnmorskan nöddop det gifva.»</w:t>
        <w:br/>
        <w:br/>
        <w:t xml:space="preserve">Jag anser, att dessa ord numera kunna uteslutas ur barnmorskereglementet, sedan barnmorskeeden upphäfts, hvilken ed ålade </w:t>
      </w:r>
      <w:r>
        <w:rPr>
          <w:b/>
        </w:rPr>
        <w:t>barnmorska³</w:t>
      </w:r>
      <w:r>
        <w:rPr>
          <w:b w:val="0"/>
        </w:rPr>
        <w:t xml:space="preserve"> att tillse, att barn njöte dopet. Såsom skäl för dessa ords borttagande har jag äfven anfört, att de bestämmelser rörande nöddop, som förekomma i kyrkolagen, böra kunna vara alldeles tillräckliga. Då de nu ifrågavarande orden kunna föranleda missförstånd och åstadkomma svårigheter på en hel del håll — hvilket jag för öfrigt vet, att de gjort — kan jag icke inse, att det ligger något obilligt i min begäran, att de skola tagas bort, synnerligast som utskottet har precis samma åsikt i denna sak som jag. Vid sådant förhållande förstår jag icke, hvarför jag icke skulle kunna yrka bifall till min motion, som går ut på att få till stånd en skrifvelse till Kungl. Maj:t i syfte att få &amp; 15 i barnmorskereglementet ändrad på sätt, som jag nu angifvit.</w:t>
        <w:br/>
        <w:br/>
        <w:t>I utskottets motivering åberopas åtskilliga, som man skulle kunna kalla, prejudikat i frågan. Där anföres, bl. a., hurusom</w:t>
        <w:br/>
        <w:br/>
        <w:t>kraft, utan man vädjar till »sed och uppfattning»; sed och uppfattning ha nämligen tagit öfverhand och gjort en lagparagraf</w:t>
        <w:br/>
        <w:br/>
        <w:t>den 28 novemutan verkan. Nåväl, om sed och uppfattning numera äro</w:t>
        <w:br/>
        <w:br/>
        <w:t>sådana, att man kan säga, att dessa ifrågavarande ord i $&amp; 15 barnmorskereglementet äro obehöfliga, hvarför då icke lika gärna taga bort dessa ord ur denna paragraf?</w:t>
        <w:br/>
        <w:br/>
        <w:t>Af hvad jag sålunda framhållit af utskottets utlåtande — för hvilket jag, som sagdt, gifver utskottet mitt tacksamma erkännande — framgår, att utskottet och jag synbarligen äro eniga rörande själfva saken. Men då kan jag icke förstå, hvarför icke min motion skulle kunna bifallas, och därför ber jag, herr talman, att få yrka bifall till densamma.</w:t>
      </w:r>
    </w:p>
    <w:p>
      <w:pPr>
        <w:pStyle w:val="Heading2"/>
      </w:pPr>
      <w:r>
        <w:t>2. Knut Henning Gezelius von Scheele (–, man)</w:t>
      </w:r>
    </w:p>
    <w:p>
      <w:r>
        <w:rPr>
          <w:b w:val="0"/>
        </w:rPr>
        <w:t xml:space="preserve">Det är ju, herr talman, onekligen rätt litet, som skiljer utskottet och motionären åt, men motionären har med orätt sökt reducera det till alls ingenting. Till stöd härför åberopar han följande sats i det föreliggande utskottsbetänkandet: »Utskottet vill icke bestrida att, såsom af motionären framhållits, det under alla förhållanden vore önskvärdt, att de förevarande orden (att </w:t>
      </w:r>
      <w:r>
        <w:rPr>
          <w:b/>
        </w:rPr>
        <w:t>barnmorska³</w:t>
      </w:r>
      <w:r>
        <w:rPr>
          <w:b w:val="0"/>
        </w:rPr>
        <w:t xml:space="preserve"> må gifva ett svagt barn nöddop) borttoges ur barnmorskereglementet». Jag ber emellertid att få fästa den ärade motionärens uppmärksamhet på den omedelbara fortsättningen af det utskottets uttalande, som han citerade, där det heter: &gt;Då emellertid, efter hvad utskottet har sig bekant, ett nytt sådant reglemente är under utarbetning, i hvilket denna otidsenliga föreskrift icke kan antagas komma att inflyta, synes icke något skäl förefinnas att nu besvära Kungl. Maj:t med en skrifvelse sådan som den af motionären föreslagna.» Det är ju ett mycket talande skäl, mina herrar, för att icke bifalla motionen, att man är förvissad därom, att motionärens syfte i alla fall inom en mycket kort tid vinnes. Lägger man så härtill, att den form, som den ärade motionären har gifvit åt sitt förslag, kanske vid den nu inom medicinalstyrelsen försiggående omredigering af reglementet i dess helhet befinnes icke i allo tillfredsställande, har man däri ytterligare ett skäl att dröja den korta tid, som kan åtgå, till dess att man får se, hvad Kungl. Maj:t kommer med i detta afseende, sedan medicinalstyrelsen fått färdigt sitt förslag, hvilket, enligt hvad utskottet fått sig från sakkunnigt håll försäkradt, ofördröjligen är att förvänta.</w:t>
        <w:br/>
        <w:br/>
        <w:t>Vidare tillåter jag mig att fästa uppmärksamheten därpå, att — som jämväl blifvit i motionen antydt — kyrkolagens bestämmelser i detta afseende äro ägnade att belysa det ifrågavarande reglementet. I kyrkolagens 4 kap. 2 &amp; heter det: »När barnet är mycket svagt, så att det hvarken kan till kyrka föras eller prästens ankomst tryggeligen afbidas, då vare gudfruktigt</w:t>
        <w:br/>
        <w:br/>
        <w:t xml:space="preserve">och till laga ålder kommet, förståndigt och i ketechismi lära väl Ang. ändring underrättadt folk af mankön, och där ingen däraf är förhanden, Ku 22 Syd ä någon af </w:t>
      </w:r>
      <w:r>
        <w:rPr>
          <w:b/>
        </w:rPr>
        <w:t>kvinnokönet¹</w:t>
      </w:r>
      <w:r>
        <w:rPr>
          <w:b w:val="0"/>
        </w:rPr>
        <w:t xml:space="preserve"> tillåtet att döpa barnet.» Sålunda säges reglemente för äfven här, att en </w:t>
      </w:r>
      <w:r>
        <w:rPr>
          <w:b/>
        </w:rPr>
        <w:t>kvinna¹</w:t>
      </w:r>
      <w:r>
        <w:rPr>
          <w:b w:val="0"/>
        </w:rPr>
        <w:t xml:space="preserve"> må i vissa fall förrätta nöddop. Men barnmorskor hvad som är hufvudsaken härvidlag är, att kyrkolagen begagnar den 28 novemordet tillåtet både i afseende på man och på </w:t>
      </w:r>
      <w:r>
        <w:rPr>
          <w:b/>
        </w:rPr>
        <w:t>kvinna¹</w:t>
      </w:r>
      <w:r>
        <w:rPr>
          <w:b w:val="0"/>
        </w:rPr>
        <w:t>, hvilket tyder 1556. ligt visar, att betydelsen af ordet må i &amp; 15 barnmorskeregle- (Ports.) mentet är sådan, att redan nu, enligt de bestämmelser, som äro gällande, det af motionären afsedda syftet kan med fullt fog sägas redan vara uppnådt.</w:t>
        <w:br/>
        <w:br/>
        <w:t>På de grunder, som jag nu haft äran anföra, tillåter jag mig, herr talman,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