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945</w:t>
      </w:r>
    </w:p>
    <w:p>
      <w:r>
        <w:rPr>
          <w:b/>
        </w:rPr>
        <w:t xml:space="preserve">Datum: </w:t>
      </w:r>
      <w:r>
        <w:t>1904-03-01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Olsson (–, man)</w:t>
      </w:r>
    </w:p>
    <w:p>
      <w:r>
        <w:rPr>
          <w:b w:val="0"/>
        </w:rPr>
        <w:t xml:space="preserve">Herr talman, mina herrar! Då ingen af de ärade talare, som här förut yttrat sig i frågan fäst uppmärksamheten vid hvad utskottet säger å sidan 3, nämligen att denna lagstiftning i viss mån sammanhänger med lagstiftningen angående minderårigas och </w:t>
      </w:r>
      <w:r>
        <w:rPr>
          <w:b/>
        </w:rPr>
        <w:t>kvinnors¹</w:t>
      </w:r>
      <w:r>
        <w:rPr>
          <w:b w:val="0"/>
        </w:rPr>
        <w:t xml:space="preserve"> användande i industriellt arbete, skall jag tillåta mig att citera, hvad utskottet säger därom, på samma gång jag vill nämna, att detta utgjort hufvudmotivet för mig, hvarför jag gått med på det nu föreliggande skrifvelseförslaget. Utskottet säger å sidan 3: »en beaktansvärd omständighet vid bedömande af nu föreliggande fråga torde vara, att af de personer, som den af motionerna åsyftade lagstiftningen skulle komma till godo, ett icke så ringa antal utgöres af just minderårige och </w:t>
      </w:r>
      <w:r>
        <w:rPr>
          <w:b/>
        </w:rPr>
        <w:t>kvinnor¹</w:t>
      </w:r>
      <w:r>
        <w:rPr>
          <w:b w:val="0"/>
        </w:rPr>
        <w:t>». Det är enligt mitt förmenande det tyngst vägande motivet för den nu ifrågasatta lagstiftningen.</w:t>
        <w:br/>
        <w:br/>
        <w:t>Hvad beträffar det, som den ärade talaren på dalabänken här nu yttrat, skulle jag nästan, trots hans fyndighet, vilja sätta i fråga, om han den gången verkligen menade hvad han sade. Utskottet har hänvisat till den norska lagstiftningen i ämnet, och den innehåller, att i de fall, då en viss bestämd majoritet begär bestämmelser af nu ifrågavarande slag, äga de kommunala myndigheterna befogenhet att besluta angående sådana bestämmelser, men aldrig har man väl tänkt sig, att frågan härom skulle föredragas inför och beslut om viss stängningstid först fattas af de kommunala myndigheterna eller kommunalstämman, som jag förmodar att herr Daniel Persson åsyftade.</w:t>
        <w:br/>
        <w:br/>
        <w:t>Om vi vidare läsa sidan 5, så få vi frågans innebörd fullt klar för oss.</w:t>
        <w:br/>
        <w:br/>
        <w:t>Jag inskränker mig till att yrka bifall till utskottets hemställan.</w:t>
      </w:r>
    </w:p>
    <w:p>
      <w:pPr>
        <w:pStyle w:val="Heading2"/>
      </w:pPr>
      <w:r>
        <w:t>2. Daniel Persson (Liberala samlingspartiet, man)</w:t>
      </w:r>
    </w:p>
    <w:p>
      <w:r>
        <w:rPr>
          <w:b w:val="0"/>
        </w:rPr>
        <w:t xml:space="preserve">Herr talman! Hvad den siste ärade talarens anmärkning beträffar, vill jag säga, att jag ser icke ett ord om vare sig </w:t>
      </w:r>
      <w:r>
        <w:rPr>
          <w:b/>
        </w:rPr>
        <w:t>kvinnor¹</w:t>
      </w:r>
      <w:r>
        <w:rPr>
          <w:b w:val="0"/>
        </w:rPr>
        <w:t xml:space="preserve"> eller barn omnämnda i klämmen. Där talas om handelsbutiker och deras stängning.</w:t>
        <w:br/>
        <w:br/>
        <w:t>Herr K. G. Karlsson har sagt, att jag gjorde mig skyldig till ett misstag, när jag talade om den kommunala röstskalan. Ja, jag skall icke bestrida, att hvad han nyss läste upp verkligen står att läsa i motionen, men icke har han läst utskottets kläm, ty där står, att Kungl. Maj:t måtte taga under öfvervägande, »huruvida och på hvilka villkor kommun må berättigas att bestämma viss tid, under hvilken inom kommunen belägna handelsbutiker skola hållas stängda», o. s. v. Ett sådant beslut skall väl ändå fattas efter någon slags röstskala, kan jag tro, och då blir det nog den kommunala rösträtten, som tillämpas.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