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949</w:t>
      </w:r>
    </w:p>
    <w:p>
      <w:r>
        <w:rPr>
          <w:b/>
        </w:rPr>
        <w:t xml:space="preserve">Datum: </w:t>
      </w:r>
      <w:r>
        <w:t>1904-03-12</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Johan Widen (Liberala samlingspartiet, man)</w:t>
      </w:r>
    </w:p>
    <w:p>
      <w:r>
        <w:rPr>
          <w:b w:val="0"/>
        </w:rPr>
        <w:t xml:space="preserve">Herr talman, mina herrar! Gentemot hvad herr Lindhagen nu senast yttrade ber jag att få påpeka, att när man tolkar en författning, lär det icke vara nog med att endast läsa en lösryckt paragraf för sig, utan man måste se på den ifrågavarande författningen i sin helhet. Om man nu betraktar näringsfrihetsförordningen i hela dess sammanhang, finner man den för denna förordning ledande grundsatsen uttryckt i 1:a paragrafens af mig förut berörda stadgande, att hvarje svensk man och </w:t>
      </w:r>
      <w:r>
        <w:rPr>
          <w:b/>
        </w:rPr>
        <w:t>kvinna¹</w:t>
      </w:r>
      <w:r>
        <w:rPr>
          <w:b w:val="0"/>
        </w:rPr>
        <w:t xml:space="preserve"> har rätt att idka handel eller annan handtering, för så vidt icke lagen därutinnan gör något undantag. Och jag anser mig i det föregående hafva påvisat, att lagen icke med afseende å nu ifrågavarande slag af handel gör något sådant undantag.</w:t>
        <w:br/>
        <w:br/>
        <w:t>Anledningen till att det ifrågavarande stadgandet infördes i 11 S var — som herr Lindhagen syntes mig indirekt erkänna — just tillkomsten af 1887 års författning om gårdfarihandel. Men genom tillägget af detta stadgande gjordes ingalunda någon ändring i de delar af näringsfrihetsförordningen, som icke berördes af de särskilda föreskrifterna i 1887 års författning.</w:t>
        <w:br/>
        <w:br/>
        <w:t>Nu har det framhållits, att det skulle vara så farligt, om Riksdagen skulle ansluta sig till den af mig gjorda tolkningen; man skulle därmed alldeles släppa gatuhandeln loss.</w:t>
        <w:br/>
        <w:br/>
        <w:t>Hvad först tolkningen af författningen beträffar, tror jag, att domstolar och öfriga myndigheter komma att fortfarande, oberoende af de åsikter, som enskilde riksdagsmän eller till och med Andra Kammaren härvidlag må uttala, tolka lagen så, som de anse vara det riktigaste.</w:t>
        <w:br/>
        <w:br/>
        <w:t>Och hvad gatuhandeln beträffar, visar det sig ju, att den florerar åtminstone här i Stockholm, fastän herrarne där göra en annan tolkning af författningen än jag. Det är ju för att råda bot på detta missförhållande, som motionären vill, att Riksdagen skall aflåta den nu föreslagna skrifvelsen till Kungl. Maj:t. Men att dy-</w:t>
        <w:br/>
        <w:br/>
        <w:t>Om förklalik handel, särskildt med tobaksvaror, kan äga rum beror nog icke ring af 11 Spå det anförda stadgandet i 11 8 3 mom., utan på innehållet i</w:t>
      </w:r>
    </w:p>
    <w:p>
      <w:pPr>
        <w:pStyle w:val="Heading2"/>
      </w:pPr>
      <w:r>
        <w:t>2. Carl Persson (Lantmanna- och borgarepartiet inom andrakammaren, man)</w:t>
      </w:r>
    </w:p>
    <w:p>
      <w:r>
        <w:rPr>
          <w:b w:val="0"/>
        </w:rPr>
        <w:t>Herr talman, mina herrar! Om</w:t>
        <w:br/>
        <w:br/>
        <w:t>VIN NE det varit motionärens afsikt att med det nu föreliggande för-</w:t>
        <w:br/>
        <w:br/>
        <w:t>REN slaget minska förbrukningen af tobaksvaror, skulle jag ha varit den förste att önska bifall åt hans förslag, men då anledningen till att han framlagt detsamma synes vara den, att han ser illa därpå, att några fattiga stackare och mindre fabrikanter genom sådan handel afsätta sina varor och möjligtvis förtjäna sitt bröd, kan jag icke gifva honom mitt understöd. Att afsikten varit den nu nämnda, framgår af den motivering, som i motionen anförts för förslaget. Det heter nämligen där bland annat: »De, som igångsätta eller furnera denna handel, lära förnämligast vara mindre fabrikantfirmor. En dylik firma kan på en gång utsända många tiotal försäljare. Afven förekommer, att dylik handel anordnas af agenter eller från en och annan mindre cigarrhandel. Att medgifvandet af en sådan rörelse innefattar en illojalitet mot cigarrhandlarne, är obestridligt. Detta framstår så mycket tydligare som rörelsen äger rum just om helgdagarne, men i det stora hela afstannar om hvardagarne, då publiken hellre uppsöker de då tillgängliga cigarrbodarne. Innehafvarne af cigarrbodar förlorade genom 1893 års beslut hvar och en omkring sextio dagskassor om året, och förespeglingarna om att afsättningen i stället skulle bli så mycket större på lördagarne hafva ej uppfyllts hufvudsakligen i följd af den uppträdande gatuhandeln», och sedan säges i fortsättningen, att de mindre fabrikantfirxmorna endast på detta sätt kunna vinna afsättning för sina varor. Det är ledsamt, att dessa skola behöfva anlita söndagen för denna försäljning, men äfven de behöfva lefva på sin fabrikation, liksom äfven de, som sälja varorna, äro i större behof af förtjänst än innehafvarne af de stora cigarraffärerna.</w:t>
        <w:br/>
        <w:br/>
        <w:t>Om jag icke sett orätt, är med cigarrhandel vanligen äfven förenad en annan handel, nämligen handel med tidningar. Men tidningsförsäljning på söndagarne äger rum på gatorna lika väl som cigarrförsäljning. Jag kan icke förstå annat, än att innehafvarne af cigarrbodar äfven skola förlora på att icke de ensamma få försälja tidningar om söndagarne, men i det fallet höras inga klagomål. Jag kan för min del icke finna annat, än att sabbaten vanhelgas lika mycket däraf, att en person går och ropar ut tidningar som att en cigarrhandlare helt tyst bjuder ut sina varor till den, som vill köpa.</w:t>
        <w:br/>
        <w:br/>
        <w:t>Huru man än vill lagstifta härvidlag, tror jag, att lagbestämmelserna komma att kringgås. Lagutskottet har äfven antydt, att så skulle blifva fallet med afseende å det af motionären nu fram-</w:t>
        <w:br/>
        <w:br/>
        <w:t xml:space="preserve">lagda förslaget. Utskottet säger nämligen: »Det vill synas utskot- Om förkla. tet, som om motionären till äfventyrs något underskattat den möj- "ing af 11 $ lighet att i viss mån förringa den ifrågasatta lagförklaringens ef-7, om. i för ghet V. | "ring n ifråg gförklaringens ef -dningen den fektivitet, som kan ligga i den uti 11 8 2 mom. af näringsfrihets- 18 juni 1864 förordningen medgifna rätt för så kallade själfförsörjare att med angåen/e utbiträde af </w:t>
      </w:r>
      <w:r>
        <w:rPr>
          <w:b/>
        </w:rPr>
        <w:t>hustru²</w:t>
      </w:r>
      <w:r>
        <w:rPr>
          <w:b w:val="0"/>
        </w:rPr>
        <w:t xml:space="preserve"> eller hemmavarande barn till salu kringföra sina vidgad ihet. egna tillverkningar. Afven om denna form för idkande af tobaksringa | handel om söndagarne hittills varit mera sällsynt, förefinnes ej nå- | gon säkerhet, att så allt fortfarande skulle blifva fallet, därest öfrig tobakshandel å söndagarne komme att upphöra.» Det ser således ut, som om utskottet själft trodde, att man genom att bifalla motionärens förslag ej skulle kunna vinna hvad man vill vinna i detta afseende, utan att detta förslag skulle komma att kringgås.</w:t>
        <w:br/>
        <w:br/>
        <w:t>För min del kan jag icke se annat, än att vi med ett bifall till det föreliggande förslaget komma att taga en liten förtjänst från dem, som mest behöfva den, för att i stället gifva densamma åt dem, som äro i mindre behof däraf.</w:t>
        <w:br/>
        <w:br/>
        <w:t>Jag ber, herr talman, att få yrka afslag å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949</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