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Diskussion 967</w:t>
      </w:r>
    </w:p>
    <w:p>
      <w:r>
        <w:rPr>
          <w:b/>
        </w:rPr>
        <w:t xml:space="preserve">Datum: </w:t>
      </w:r>
      <w:r>
        <w:t>1904-05-07</w:t>
      </w:r>
    </w:p>
    <w:p>
      <w:r>
        <w:rPr>
          <w:b/>
        </w:rPr>
        <w:t xml:space="preserve">Kammare: </w:t>
      </w:r>
      <w:r>
        <w:t>Andra kammaren</w:t>
      </w:r>
    </w:p>
    <w:p>
      <w:r>
        <w:rPr>
          <w:b/>
        </w:rPr>
        <w:t xml:space="preserve">Antal yttranden: </w:t>
      </w:r>
      <w:r>
        <w:t>2</w:t>
      </w:r>
    </w:p>
    <w:p>
      <w:r>
        <w:rPr>
          <w:b/>
        </w:rPr>
        <w:t xml:space="preserve">Källa: </w:t>
      </w:r>
      <w:r>
        <w:t>Tal om Kvinnor: Annotated Corpus (doi:10.5281/zenodo.18211787), byggd på The Swedish Parliament Corpus (Yrjänäinen m.fl. 2024).</w:t>
      </w:r>
    </w:p>
    <w:p>
      <w:r>
        <w:rPr>
          <w:i/>
        </w:rPr>
        <w:t>Markerade ord: ¹ kvinna-ord, ² släktskaps- och tilltalsord, ³ yrkestitlar.</w:t>
      </w:r>
    </w:p>
    <w:p>
      <w:pPr>
        <w:pStyle w:val="Heading2"/>
      </w:pPr>
      <w:r>
        <w:t>1. Axel Lund (Liberala samlingspartiet, man)</w:t>
      </w:r>
    </w:p>
    <w:p>
      <w:r>
        <w:rPr>
          <w:b w:val="0"/>
        </w:rPr>
        <w:t xml:space="preserve">Herr talman! Jag har förut för kammaren framlagt en jämförelse och kan icke heller här underlåta att göra det. Ankan efter en lektor vid ett allmänt läroverk åtnjuter i pension 675 kronor. Skulle nu Riksdagen åt </w:t>
      </w:r>
      <w:r>
        <w:rPr>
          <w:b/>
        </w:rPr>
        <w:t>änkan²</w:t>
      </w:r>
      <w:r>
        <w:rPr>
          <w:b w:val="0"/>
        </w:rPr>
        <w:t xml:space="preserve"> efter en professor bevilja blott 600 kronor, vore det en missproportion. Därtill kommer, att professor Smitt gjort sig i hög grad förtjänt af staten, såsom också framhålles här. Därjämte föreligger en ytterligare omständighet, nämligen att bouppteckningen visar brist och att således ett behof verkligen synes förefinnas.</w:t>
        <w:br/>
        <w:br/>
        <w:t>På grund af dessa skäl ber jag, herr talman, att få yrka afslag på utskottets hemställan och bifall till Kungl. Maj:ts proposition.</w:t>
      </w:r>
    </w:p>
    <w:p>
      <w:pPr>
        <w:pStyle w:val="Heading2"/>
      </w:pPr>
      <w:r>
        <w:t>2. Hans Andersson (Lantmanna- och borgarepartiet inom andrakammaren, man)</w:t>
      </w:r>
    </w:p>
    <w:p>
      <w:r>
        <w:rPr>
          <w:b w:val="0"/>
        </w:rPr>
        <w:t xml:space="preserve">Herr talman! Mot den siste talaren vill jag erinra, att en lektors </w:t>
      </w:r>
      <w:r>
        <w:rPr>
          <w:b/>
        </w:rPr>
        <w:t>änka²</w:t>
      </w:r>
      <w:r>
        <w:rPr>
          <w:b w:val="0"/>
        </w:rPr>
        <w:t xml:space="preserve"> är berättigad till</w:t>
        <w:br/>
        <w:br/>
        <w:t xml:space="preserve">pension. Det är icke professor Smitts </w:t>
      </w:r>
      <w:r>
        <w:rPr>
          <w:b/>
        </w:rPr>
        <w:t>änka²</w:t>
      </w:r>
      <w:r>
        <w:rPr>
          <w:b w:val="0"/>
        </w:rPr>
        <w:t>. Nu är samma pension tillstyrkt, som förut beviljats åt änkor efter personer i samma ställning som professor Smitt.</w:t>
        <w:br/>
        <w:br/>
        <w:t>På dessa skäl yrkar jag bifall till utskottets hemställan.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Diskussion 967</dc:title>
  <dc:subject/>
  <dc:creator>Tal om Kvinnor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  <cp:lastPrinted>2000-01-01T00:00:00Z</cp:lastPrinted>
</cp:coreProperties>
</file>