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w:t>
      </w:r>
    </w:p>
    <w:p>
      <w:r>
        <w:rPr>
          <w:b/>
        </w:rPr>
        <w:t xml:space="preserve">Datum: </w:t>
      </w:r>
      <w:r>
        <w:t>1906-05-04</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Joseph Stephens (Första kammarens protektionistiska parti, man)</w:t>
      </w:r>
    </w:p>
    <w:p>
      <w:r>
        <w:rPr>
          <w:b w:val="0"/>
        </w:rPr>
        <w:t>Då det beslöts, att en afgift skulle läggas på skogsprodukter, som exporterades från landet, så var meningen, att denna afgift skulle användas för att befordra skogsvården på enskild mark. Då frågar jag: om genom att skogsvårdsstyrelser lämnas rätt att köpa jord dessa afgifter först användas till att förvandla enskild mark till styrelsernas mark, hur kan det då blifva i öfverensstämmelse med lagen, att dessa medel skulle användas till att förbättra skogen på enskild mark? Jag finner häri en orättvisa mot de personer, som släppt till dessa medel. Det var en orättvisa redan det, då lagen bestämde, att de skogsägare, som hade vårdat och skyddat sin skog och som således hade något att exportera, ensamma skulle lämna bidrag till alla dem, som sköflat sina skogar, för att dessa sköflade skogar skulle kunna återställas</w:t>
        <w:br/>
        <w:br/>
        <w:t>i vårdadt skick, men att nu gå så långt att dessa medel skulle Ifrågasatt förkunna gå till att förvandla enskild mark till i det närmaste mot-säljning af ett 7: &amp; . . i . o till kronolägensvarande statsegendom finner jag så orimligt, att jag icke kan på ,,., Barnabro något sätt vara med om ett sådant förhållande, utan yrkar bifall hörande omtill utskottets hemställan. råde. (Forts.) Herr Nordenfalk: Det fordras en juridisk person bakom skogsvårdsstyrelsen, säger man; ja väl, då är detta ju kronan, kronan som står bakom och garanterar. Jag upprepar, att i hvarje fall är det domstol, som afgör dylika frågor, men på administrativ väg bör icke den eller den förklaras inkompetent att köpa jord.</w:t>
        <w:br/>
        <w:br/>
        <w:t xml:space="preserve">En sammanjämkning mellan dessa kamrarnas skiljaktiga beslut hade utskottet ansett böra fotas på de grunder, att kommunerna fortfarande finge vidkännas tredjedelen af utgifterna för ålderstilläggen, för så vidt dessa utginge med lika belopp för såväl manliga som </w:t>
      </w:r>
      <w:r>
        <w:rPr>
          <w:b/>
        </w:rPr>
        <w:t>kvinnliga¹</w:t>
      </w:r>
      <w:r>
        <w:rPr>
          <w:b w:val="0"/>
        </w:rPr>
        <w:t xml:space="preserve"> lärare, hvaremot staten dels ensam finge vidkännas den del af de manliga lärarnes ålderstillägg, hvarmed dessa enligt Riksdagens beslut höjts utöfver de </w:t>
      </w:r>
      <w:r>
        <w:rPr>
          <w:b/>
        </w:rPr>
        <w:t>kvinnliga¹</w:t>
      </w:r>
      <w:r>
        <w:rPr>
          <w:b w:val="0"/>
        </w:rPr>
        <w:t xml:space="preserve"> lärarnes, och dels från och med början af nästkommande år öfvertager utgifterna för de i mom. 2 omförmälda extra pensionsafgifterna.</w:t>
        <w:br/>
        <w:br/>
        <w:t>En dylik sammanjämkning skulle medföra en nedsättning af omkring 400,000 kronor i det af Kungl. Maj:t äskade förslagsanslaget till lönetillskott åt lärare vid folkskolor och småskolor.</w:t>
        <w:br/>
        <w:br/>
        <w:t xml:space="preserve">3. Har läraren oförvitligt tjänstgjort i folkskola såsom ordinarie ytterligare så länge, att den årliga lönen för samma undervisning af sådan anledning skall utgå med, förutom de i lag bestämda naturaförmånerna eller ersättning därför, minst ettusen tvåhundra kronor till manlig lärare och minst ettusen etthundra kronor till </w:t>
      </w:r>
      <w:r>
        <w:rPr>
          <w:b/>
        </w:rPr>
        <w:t>kvinnlig¹</w:t>
      </w:r>
      <w:r>
        <w:rPr>
          <w:b w:val="0"/>
        </w:rPr>
        <w:t>, äger skoldistrikt att årligen erhålla statsbidrag i förra fallet med åttahundratrettiotre kronor 33 öre och i senare fallet med sjuhundratrettiotre kronor 33 öre.</w:t>
      </w:r>
    </w:p>
    <w:p>
      <w:pPr>
        <w:pStyle w:val="Heading2"/>
      </w:pPr>
      <w:r>
        <w:t>2. Sigfrid Wieselgren (–, man)</w:t>
      </w:r>
    </w:p>
    <w:p>
      <w:r>
        <w:rPr>
          <w:b w:val="0"/>
        </w:rPr>
        <w:t>Jag begärde icke ordet för att motsätta mig det framlagda förslaget. Men jag har haft anledning att finna, att kammarens beslut i en viss punkt har blifvit på åtskilliga håll något litet missuppfattadt.</w:t>
        <w:br/>
        <w:br/>
        <w:t xml:space="preserve">Vid det tillfälle, när frågan förra gången förevar, talades mycket om det för de </w:t>
      </w:r>
      <w:r>
        <w:rPr>
          <w:b/>
        </w:rPr>
        <w:t>kvinnliga¹</w:t>
      </w:r>
      <w:r>
        <w:rPr>
          <w:b w:val="0"/>
        </w:rPr>
        <w:t xml:space="preserve"> lärarna nedsättande eller rent af kränkande däruti, att de skulle för lika arbete icke få åtnjuta samma lön som de manliga lärarna. Frågan om skillnaden i lönen var dock i det hela ganska obetydlig, och jag vågar tro, att det var icke heller där, som den egentliga anledningen låg till det missnöje, som från de </w:t>
      </w:r>
      <w:r>
        <w:rPr>
          <w:b/>
        </w:rPr>
        <w:t>kvinnliga¹</w:t>
      </w:r>
      <w:r>
        <w:rPr>
          <w:b w:val="0"/>
        </w:rPr>
        <w:t xml:space="preserve"> lärarna riktats mot förslaget, mot Kungl. Maj:ts proposition och Riksdagens beslut. Man såg fasthellre i detta bestämmande ett bevis på underskattande af de </w:t>
      </w:r>
      <w:r>
        <w:rPr>
          <w:b/>
        </w:rPr>
        <w:t>kvinnliga¹</w:t>
      </w:r>
      <w:r>
        <w:rPr>
          <w:b w:val="0"/>
        </w:rPr>
        <w:t xml:space="preserve"> lärarnas arbete. Men detta är ovillkorligen ogrundadt. Det uttalades ej blott under diskussionen, utan jämväl i utskottets utlåtande; där står ju, när det refereras hvad en motionär sagt i fråga om gagnet af att i allt större utsträckning anlita </w:t>
      </w:r>
      <w:r>
        <w:rPr>
          <w:b/>
        </w:rPr>
        <w:t>kvinnligt¹</w:t>
      </w:r>
      <w:r>
        <w:rPr>
          <w:b w:val="0"/>
        </w:rPr>
        <w:t xml:space="preserve"> arbete på folkskolans område: »Hvad motionären såsom ett hufvudsakligt skäl för detta sitt yrkande anfört om </w:t>
      </w:r>
      <w:r>
        <w:rPr>
          <w:b/>
        </w:rPr>
        <w:t>kvinnornas¹</w:t>
      </w:r>
      <w:r>
        <w:rPr>
          <w:b w:val="0"/>
        </w:rPr>
        <w:t xml:space="preserve"> lämplighet som barnaledare och deras fallenhet för arbete på folkskolans område, anser utskottet visserligen äga sitt berättigande, men å andra sidan torde böra framhållas, att inom folkskolan i ej så ringa utsträckning äfven finnas lärarplatser, för hvilkas skötande det företrädesvis fordras manliga lärare.» Detta senare kan man ju icke alls kategoriskt förneka. Om också det kan sägas och med fog sägas, att dessa under de manliga lärarna ställda eleverna efter några få år till stor del åter-</w:t>
        <w:br/>
        <w:br/>
        <w:t xml:space="preserve">finnas bland de skaror, som i publikationer sådana som »Gula faran» se sina åsikter uttryckta och som bilda kanske kärnpunkten i den anarkistiskt anlagda flocken af ungdom i vårt fädernesland, kan man dock icke därför förneka riktigheten af hvad utskottet har sagt. Efter min öfvertygelse har utskottet icke velat på något vis förneka riktigheten af hvad här i både den anförda motionen och en i Andra Kammaren afgifven motion sagts om den </w:t>
      </w:r>
      <w:r>
        <w:rPr>
          <w:b/>
        </w:rPr>
        <w:t>kvinnliga¹</w:t>
      </w:r>
      <w:r>
        <w:rPr>
          <w:b w:val="0"/>
        </w:rPr>
        <w:t xml:space="preserve"> arbetskraftens förträfflighet. I sådant fall hade nog flera gensagor riktats mot ett sådant uttalande. Och det kan ju icke förnekas, att vi äro stor tack skyldiga åt dessa </w:t>
      </w:r>
      <w:r>
        <w:rPr>
          <w:b/>
        </w:rPr>
        <w:t>kvinnliga¹</w:t>
      </w:r>
      <w:r>
        <w:rPr>
          <w:b w:val="0"/>
        </w:rPr>
        <w:t xml:space="preserve"> lärare för att de med så mycket nit och intresse ägna sig åt denna maktpåliggande verksamhet; och för min enskilda del skulle jag i den omständigheten, att vårt lands bildade </w:t>
      </w:r>
      <w:r>
        <w:rPr>
          <w:b/>
        </w:rPr>
        <w:t>kvinnor¹</w:t>
      </w:r>
      <w:r>
        <w:rPr>
          <w:b w:val="0"/>
        </w:rPr>
        <w:t xml:space="preserve"> i allt större utsträckning hängifva sig åt detta arbetsfält, se ett verkligt löfte åt vårt folk i fråga om undervisningens lyftande till meddelandet af en önskvärd uppfostran i våra folkskolor. Men, som sagdt, jag har blott velat till protokollet uttala min uppfattning i den förebragta frågan; det får icke anses på något vis innebära ett underskattande af den </w:t>
      </w:r>
      <w:r>
        <w:rPr>
          <w:b/>
        </w:rPr>
        <w:t>kvinnliga¹</w:t>
      </w:r>
      <w:r>
        <w:rPr>
          <w:b w:val="0"/>
        </w:rPr>
        <w:t xml:space="preserve"> arbetskraften på folkskolans område, om man också godkänner ett förslag, som i någon mån nedsätter deras löner i jämförelse med de löner, som de manliga lärarna erhålla. Just därför, att jag har denna uppfattning, kan jag yrka bifall till utskottets sammanjämkningsförslag.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