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1031</w:t>
      </w:r>
    </w:p>
    <w:p>
      <w:r>
        <w:rPr>
          <w:b/>
        </w:rPr>
        <w:t xml:space="preserve">Datum: </w:t>
      </w:r>
      <w:r>
        <w:t>1907-03-16</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Gustaf Albert Petersson (Lantmanna- och borgarepartiet inom andrakammaren, man)</w:t>
      </w:r>
    </w:p>
    <w:p>
      <w:r>
        <w:rPr>
          <w:b w:val="0"/>
        </w:rPr>
        <w:t>Herr talman, mina herrar! Det nu föreliggande förslaget utgör första delen af lagberedningens förslag till ny jordabalk. Vår nuvarade lagstiftning på det område, som här behandlas, är mycket föråldrad och bristfällig. Hela det stora rättsinstitut, som går under namnet arrende, behandlas i några få åldriga stadganden angående förhållandet mellan landbo och jordägare, hvilka stadganden kvarstått sedan 1734, äfvensom i några senare tillkomna författningar. Och enahanda är förhållandet med hyresaftalet i stad. Hvad särskildt det senare beträffar, så ha genom föråldrade bestämmelser och genom den tolkning, som i domstolsväg kommit att gifvas åt en af hit-</w:t>
        <w:br/>
        <w:br/>
        <w:t>hörande paragrafer, i vissa städer, särskildt i Stockholm, alstrats förhållanden, som kunna betecknas som olidliga.</w:t>
        <w:br/>
        <w:br/>
        <w:t>En hyresgäst står i vissa fall så godt som rättslös gentemot en hänsynslös husägare; och många af dessa senare ha icke aktat för rof att begagna sig häraf på ett sätt, som kan betecknas såsom rent af upprörande. Jag skulle vara i tillfälle att i detta hänseende framlägga nyligen inträffade fall här i Stockholm, hvilka öfvergå hvad man kan föreställa sig som möjligt. På allt detta vill och kommer nog också det föreliggande lagförslaget att råda bot i den mån, sådant öfver hufvud taget är möjligt genom lagstiftning på den allmänna civilrättens område.</w:t>
        <w:br/>
        <w:br/>
        <w:t>Förslaget afväger, såsom också utskottet vitsordat, förbållandet mellan kontrahenterna på ett skäligt och billigt sätt. Såsom något särskildt värdefullt måste betecknas de bestämmelser, som i förslaget inkommit i syfte att skydda den svagare partens rätt, och hvilka bestämmelser gjorts till tvingande lagbud, hvarigenom aftalsfriheten på detta område till den svagare partens fördel blifvit i viss mån inskränkt.</w:t>
        <w:br/>
        <w:br/>
        <w:t>Vidare innehåller förslaget ett alldeles nytt rättsinstitut, nämligen det angående tomträtt. Härigenom har öppnats en ny form för upplåtelse af nyttjanderätt, som antagligen kommer att varda af ganska stor betydelse för städernas och de stadsliknande samhällenas utveckling. Det är min tro, att detta institut kommer att vinna användning och visa sig välgörande.</w:t>
        <w:br/>
        <w:br/>
        <w:t>Förslaget innehåller för öfrigt bestämmelser, som -vi hittills i lag saknat, angående servitut och därmed sammanhängande förhållanden.</w:t>
        <w:br/>
        <w:br/>
        <w:t>Jag vågar hysa den förhoppningen, att förslaget, om det antages, skall bidraga till att skapa lugna och ordnade förhållanden inom denna del af vår rätt.</w:t>
        <w:br/>
        <w:br/>
        <w:t>Förslaget har, sedan det framkommit, i stort sedt rönt ett välvilligt mottagande. Vid granskningen 1 högsta domstolen har ingen anmärkning framkommit, åtminstone icke af pluraliteten, angående de principer, på hvilka förslaget hvilar. Och hvad angår detaljerna i detsamma, så äro de anmärkningar, som därvidlag gjorts, icke af någon synnerligen omfattande art. Den öfverarbetning, som förslaget genomgått i justitiedepartementet, har därför kunnat och bort ske med ganska lätt hand.</w:t>
        <w:br/>
        <w:br/>
        <w:t>Utskottet har uttalat enahanda omdöme, då utskottet säger, att vid pröfning af de särskilda lagförslagen utskottet kommit till den uppfattning, att genom dessa lagförslag de uppgifter, som förelegat, blifvit på ett mycket förtjänstfullt sätt lösta och att förslagens olika syften blifvit vederbörligen tillgodosedda. Jag vågar alltså hysa den förhoppningen, att äfven Riksdagen skall finna dessa förslag antagliga och därigenom taga första steget till en reform på detta område.</w:t>
        <w:br/>
        <w:br/>
        <w:t>lagberedningen utstakat för sig, innehåller utskottets utlåtande, lag om. . os é a ö yttjanderätt</w:t>
        <w:br/>
        <w:br/>
        <w:t>upplysning. Det omtalas däri, att lagberedningen tänkt sig uppil fast egentaga ämnet i tre afdelningar. Den första skulle röra rättsfördom m. m. hållandena vid nyttjanderätt till fast egendom samt vid servitut, = (Forts.) d. v. s. hvad som nu föreligger utarbetadt och är för Riksdagen framlagdt. Den andra afdelningen skulle angå fång till fast egendom, lagfartsoch inteckningsväsendet och hvad därmed äger sammanhang. Den är för närvarande under arbete i lagberedningen. Den tredje delen skulle omfatta öfriga delar af jordabalken, i sammanhang hvarmed en sista handläggning skulle egnas förslaget i dess helhet i syfte att inordna samtliga delar inom en gemensam ram och således bilda den nya jordabalken. Utskottet har uttalat sitt gillande af denna plan, och den torde också finnas vara. lämplig.</w:t>
        <w:br/>
        <w:br/>
        <w:t>Om nu det första steget tages genom antagandet af ifrågavarande lagar och om vidare arbetet på de öfriga delarna får fortgå som hittills, är det min förhoppning, att den tiden icke är långt aflägsen, då vi i Sverige ha en på moderna grunder stödd och tillfredsställande lagstiftning på ifrågavarande synnerligen viktiga område.</w:t>
        <w:br/>
        <w:br/>
        <w:t xml:space="preserve">Vid lifstidsarrende njute arrendatorns </w:t>
      </w:r>
      <w:r>
        <w:rPr>
          <w:b/>
        </w:rPr>
        <w:t>hustru²</w:t>
      </w:r>
      <w:r>
        <w:rPr>
          <w:b w:val="0"/>
        </w:rPr>
        <w:t xml:space="preserve">, där äktenskapet var ingånget innan aftalet slöts, efter mannens död arrendet till godo så länge </w:t>
      </w:r>
      <w:r>
        <w:rPr>
          <w:b/>
        </w:rPr>
        <w:t>hon²</w:t>
      </w:r>
      <w:r>
        <w:rPr>
          <w:b w:val="0"/>
        </w:rPr>
        <w:t xml:space="preserve"> förblifver </w:t>
      </w:r>
      <w:r>
        <w:rPr>
          <w:b/>
        </w:rPr>
        <w:t>änka²</w:t>
      </w:r>
      <w:r>
        <w:rPr>
          <w:b w:val="0"/>
        </w:rPr>
        <w:t xml:space="preserve">. Går </w:t>
      </w:r>
      <w:r>
        <w:rPr>
          <w:b/>
        </w:rPr>
        <w:t>hon²</w:t>
      </w:r>
      <w:r>
        <w:rPr>
          <w:b w:val="0"/>
        </w:rPr>
        <w:t xml:space="preserve"> i nytt gifte, inträder mannen i arrendeaftalets rättigheter och skyldigheter; dock må ägaren vara berättigad att uppsäga aftalet, så att det</w:t>
      </w:r>
    </w:p>
    <w:p>
      <w:pPr>
        <w:pStyle w:val="Heading2"/>
      </w:pPr>
      <w:r>
        <w:t>2. John Erlansson (Nationella framstegspartiet, man)</w:t>
      </w:r>
    </w:p>
    <w:p>
      <w:r>
        <w:rPr>
          <w:b w:val="0"/>
        </w:rPr>
        <w:t xml:space="preserve">Herr talman, mina herrar! Jag har i min motion föreslagit en ändring i sista stycket af denna paragraf. Det arbetas i vår tid rätt mycket för likställighet mellan man och </w:t>
      </w:r>
      <w:r>
        <w:rPr>
          <w:b/>
        </w:rPr>
        <w:t>kvinna¹</w:t>
      </w:r>
      <w:r>
        <w:rPr>
          <w:b w:val="0"/>
        </w:rPr>
        <w:t xml:space="preserve">, och då anser jag det vara mindre lämpligt att bibehålla den gamla ordalydelsen i denna paragraf. Lagutskottet har icke haft annat skäl för bibehållande däraf, än att gällande lag förut varit sådan. Vi veta ju, att om en man skulle bli enkling två, tre gånger och gifta sig omigen, så står kontraktet fast för honom under hans lifstid. Skulle däremot hända så, att det är mannen, som dör först, så skulle </w:t>
      </w:r>
      <w:r>
        <w:rPr>
          <w:b/>
        </w:rPr>
        <w:t>kvinnan¹</w:t>
      </w:r>
      <w:r>
        <w:rPr>
          <w:b w:val="0"/>
        </w:rPr>
        <w:t xml:space="preserve"> icke hafva rättighet att ingå nytt äktenskap utan att bli skild från den arrenderade lägenhet, </w:t>
      </w:r>
      <w:r>
        <w:rPr>
          <w:b/>
        </w:rPr>
        <w:t>hon²</w:t>
      </w:r>
      <w:r>
        <w:rPr>
          <w:b w:val="0"/>
        </w:rPr>
        <w:t xml:space="preserve"> innehar. Det största och kraftigaste skäl, som anföres mot en dylik rätt för </w:t>
      </w:r>
      <w:r>
        <w:rPr>
          <w:b/>
        </w:rPr>
        <w:t>kvinnan¹</w:t>
      </w:r>
      <w:r>
        <w:rPr>
          <w:b w:val="0"/>
        </w:rPr>
        <w:t xml:space="preserve">, är väl det, att man fruktar, att </w:t>
      </w:r>
      <w:r>
        <w:rPr>
          <w:b/>
        </w:rPr>
        <w:t>hon²</w:t>
      </w:r>
      <w:r>
        <w:rPr>
          <w:b w:val="0"/>
        </w:rPr>
        <w:t xml:space="preserve"> kunde få en dålig man, som icke skulle motsvara de fordringar, som jordägaren kunde hafva på sin arrendator. Denna fara är nog icke alldeles utesluten. Men jag undrar, om vi icke bland 36 $&amp;:s många olika punkter kunde finna någon, som stipulerar rätt för jordägaren att under sådana förhållanden uppsäga kontraktet. För min del yrkar jag därför, att denna paragraf ändras därhän, att, om kontraktet är ingånget för lifstid, detta bör gälla för båda makarne och icke endast för mannen.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1031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