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1049</w:t>
      </w:r>
    </w:p>
    <w:p>
      <w:r>
        <w:rPr>
          <w:b/>
        </w:rPr>
        <w:t xml:space="preserve">Datum: </w:t>
      </w:r>
      <w:r>
        <w:t>1907-05-22</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Julius Ödman (Lantmannapartiet, man)</w:t>
      </w:r>
    </w:p>
    <w:p>
      <w:r>
        <w:rPr>
          <w:b w:val="0"/>
        </w:rPr>
        <w:t>Herr talman! Inom utskottet har jag varit af samma mening som herr Hammarlund, nämligen att man hade bort följa Kungl. Maj:ts förslag och bestämma åldern för pensions inträdande till 60 år. Den, som något känner till våra folkhögskolor och den verksamhet, som folkhögskolorna utöfva, känner också, att dessa lärare mera än andra lärare äro upptagna icke endast af själfva lärareverksamheten, utan också af arbete för skolan och dess personal, för att sammanhålla det hela och representera skolan. En vanlig lärare åter har rektor och lärarekollegium, och när han</w:t>
        <w:br/>
        <w:br/>
        <w:t>undervisat några timmar, så går han hem från läroverket och är fri; så icke med folkhögskolläraren, synnerligast dess föreståndare.</w:t>
        <w:br/>
        <w:br/>
        <w:t>Jag tänker dock härvidlag icke så mycket på själfva lärarne, ty naturligtvis skulle de nog tycka, att det vore godt, om de kunde få förtjäna högre lön, så länge de kunna arbeta, och för dem borde det sålunda vara en fördel, om pensionsåldern sattes till 65 år. Men här får man hufvudsakligen tänka på skolan. Det är skolan, som skulle lida härpå, och det är det, vi icke vilja. Det kan ju finnas en och annan lärare, som vid 65 års ålder har full arbetskraft; de äro nog undantag. Om man jämför dessa lärare med döfstumlärarne, i hvars pensionsanstalt de nu skulle inrangeras, så borde man sätta pensionsåldern liksom för dessa till 60 år: folkskollärarnes pensionsålder är, som vi veta, 935 år.</w:t>
        <w:br/>
        <w:br/>
        <w:t>Afven jag har liksom herr Hammarlund reserverat mig vid denna punkt 8, men denna min reservation har, som herrarne behagade finna, genom feltryck nedflyttats under 9:de punkten, hvilket jag härmed rättar.</w:t>
        <w:br/>
        <w:br/>
        <w:t xml:space="preserve">Hvad undervisningstiden beträffar, så är den vid nästan hvarenda folkhögskola, som jag känner, 6 månader eller, om jullofvet frånräknas, 20 veckor, men dessutom förekommer en sommarkurs för den </w:t>
      </w:r>
      <w:r>
        <w:rPr>
          <w:b/>
        </w:rPr>
        <w:t>kvinnliga¹</w:t>
      </w:r>
      <w:r>
        <w:rPr>
          <w:b w:val="0"/>
        </w:rPr>
        <w:t xml:space="preserve"> afdelningen på 3 månader. Under den tid, då andra lärare äro lediga, få sålunda dessa föreståndare arbeta med att undervisa den </w:t>
      </w:r>
      <w:r>
        <w:rPr>
          <w:b/>
        </w:rPr>
        <w:t>kvinnliga¹</w:t>
      </w:r>
      <w:r>
        <w:rPr>
          <w:b w:val="0"/>
        </w:rPr>
        <w:t xml:space="preserve"> afdelningen under 3 månader. Jag har endast velat nämna detta med anledning af hvad som sagts därom, att dessa lärare skulle hafva kortare undervisningstid än lärare vid elementarläroverken. Tvärtom hafva de i regel längre undervisningstid och få så att säga vara i selen året rundt.</w:t>
        <w:br/>
        <w:br/>
        <w:t>Då jag, som sagdt, anser, att skolorna skulle blifva lidande på, att åldern för pensionens inträdande höjdes till 65 år, ber jag att få yrka bifall till herr Hammarlunds och min reservation i denna punkt, nämligen att pensionsåldern sättes till 60 år i enlighet med Kungl. Maj:ts förslag.</w:t>
      </w:r>
    </w:p>
    <w:p>
      <w:pPr>
        <w:pStyle w:val="Heading2"/>
      </w:pPr>
      <w:r>
        <w:t>2. Hugo Hammarskjöld (Första kammarens moderata parti, man)</w:t>
      </w:r>
    </w:p>
    <w:p>
      <w:r>
        <w:rPr>
          <w:b w:val="0"/>
        </w:rPr>
        <w:t xml:space="preserve">Herr talman! Jag har mycket litet att tillägga till hvad förut sagts af dem, som försvarat Kungl. Maj:ts proposition, och jag skall därför icke yttra mig annat än helt kort. Men det är särskildt ett yttrande af herr Carl Persson, som jag ville nämna något om. Han yttrade nämligen: man fordrar utaf nu ifrågavarande lärarne, att de skola vara ungdomliga, men att man ju borde hafva samma fordran på alla lärare, således äfven lärarne vid de vanliga skolorna. Det är dock en liten skillnad. Undervisningen i de vanliga skolorna går ju ut på att systematiskt bibringa lärjungarna ett visst mått utaf vetande. Och det är mycket önskvärdt, att undervisningen sker med ungdomlig entusiasm. Men nödvändigt är det icke. Hvad som där mera tages i anspråk är förmågan att undervisa och plikttrohet. Men vid folkhögskolan är det ett helt annat förhållande. Det är icke barn i skolåldern, som komma in i folkhögskolan, utan det är vuxna män och </w:t>
      </w:r>
      <w:r>
        <w:rPr>
          <w:b/>
        </w:rPr>
        <w:t>kvinnor¹</w:t>
      </w:r>
      <w:r>
        <w:rPr>
          <w:b w:val="0"/>
        </w:rPr>
        <w:t>, som hafva</w:t>
        <w:br/>
        <w:br/>
        <w:t>hunnit till den åldern, att de själfva brinna utaf håg att tillägna sig ökadt vetande och att få blicken öppnad mer, än hvad de fått i skolan. Sådan håg och lust har mycket sällan ungdomen i våra vanliga skolor. Ty den är ännu i barnaåldern, och det är först, när ungdomen hinner till den åldern, eleverna i folkhögskolan i allmänhet hafva, som man kommer därhän.</w:t>
        <w:br/>
        <w:br/>
        <w:t>För att kunna motsvara deras behof af undervisning fordras det någonting helt annat, än som fordras utaf vanliga elementarlärare eller folkskollärare. Det fordras verkligen, att en lärare i folkhögskolan skall besitta en mycket hög grad af entusiasm för sin uppgift. Han skall icke blott kunna plugga in en del läxor på ett sådant sätt, som tyvärr alltför ofta sker i de vanliga skolorna, utan han skall kunna väcka sina lärjungars förmåga att tänka själfständigt, bibringa dem ett helt annat sätt att se på världen och lära dem att själfva kunna gå vidare på vägen att skaffa sig ökadt</w:t>
        <w:br/>
        <w:br/>
        <w:t>Det är därför Kungl. Maj:t har ansett, att det skulle vara till skada för folkhögskolan, om man nödgade lärarna att blifva kvar till så hög ålder, att man i vanliga fall icke kan räkna, att de hafva kvar den ungdomliga spänstigheten och entusiasmen.</w:t>
        <w:br/>
        <w:br/>
        <w:t>Jag sätter för min del folkhögskolan ofantligt högt, och jag har lärt mig på senare tider att sätta den ännu högre, än jag gjort förut. Jag tror, att den betyder ofantligt mycket för vårt folk. Och just därför vill jag för min del, att folkhögskolan endast skulle få de allra bästa krafter för sin undervisning.</w:t>
        <w:br/>
        <w:br/>
        <w:t>Herr vice talmannen: Herr talman! Åfven jag har någon liten erfarenhet beträffande folkhögskolor och landtmannaskolor samt lärarepersonalen vid dessa skolor. Jag kan, med vädjan till denna min erfarenhet, icke säga något annat, beträffande undervisningen i folkhögskolorna, än att den har varit god och tillfredsställande. Men på samma gång måste jag också särskildt framhålla, att jag funnit, att de äldsta lärarna hafva i allmänhet taget icke varit de yngre underlägsna. Den erfarenheten har nog helt säkert också flera än jag varit i tillfälle att inhämta.</w:t>
        <w:br/>
        <w:br/>
        <w:t>Ingen lärer väl heller på fullt allvar kunna påstå, att det skulle. vara, såsom en föregående talare har sagt, ett utslitande arbete med 20 veckors undervisningsplikt om året. Herr Ödman talade om en extra kurs, en sommarkurs. Ja, inom somliga folkhögskolor lär en sådan kurs vara inrättad, vid andra icke. Och vid de folkhögskolor, där sådan kurs är inrättad, har ju såväl föreståndaren som öfriga lärare, hvilka meddela undervisning i dessa kurser, därför särskildt betaldt.</w:t>
        <w:br/>
        <w:br/>
        <w:t>Detta deras särskilda arbete lärer icke få anses vara grundläggande för någon pension. Och man kan ju våga förutsätta, att om icke lärarne i fråga själfva ansåge, att de godt orkade med att äfven åtaga sig en sådan särskild undervisning mellan de ordinarie terminerna, så åtoge de sig säkert icke heller detsamma. För den stora lärarepersonalen i landet är pensionsåldern bestämd till 65 år,</w:t>
        <w:br/>
        <w:br/>
        <w:t>och då hemställer jag till kammaren, om det kan vara skäl att här gå ifrån de allmänna reglerna och bestämma pensionsåldern till 60 år. Jag tror icke, att det föreligger något skäl härför. Jag ber att få yrka bifall till utskottets förslag.</w:t>
      </w:r>
    </w:p>
    <w:p>
      <w:pPr>
        <w:pStyle w:val="Heading2"/>
      </w:pPr>
      <w:r>
        <w:t>3. Emil Hammarlund (–, man)</w:t>
      </w:r>
    </w:p>
    <w:p>
      <w:r>
        <w:rPr>
          <w:b w:val="0"/>
        </w:rPr>
        <w:t xml:space="preserve">Herr talman! Utskottets kläm börjar sålunda: »att Riksdagen må med bifall till Kungl. Maj:ts förslag medgifva, att» ete. Man får då naturligtvis den föreställningen, att utskottet tillstyrkt Kungl. Maj:ts förslag. Men det är hvad utskottet icke alls gjort, utan utskottet har gjort en väsentlig inskränkning i detsamma. Kungl. Maj:t har föreslagit, att lärarna i läsämnen vid folkskoleseminariernas öfningsskolor må blifva delaktiga af folkskollärarnas pensionsinrättning i enlighet med de grunder, som för denna pensionsinrättning äro fastställda — och det är att blifva delaktiga efter ?/, af lönen. Utskottet har tillstyrkt, att de skola vinna en sådan delaktighet, som här ifrågasatts, men utskottet vill icke, att de allmänna bestämmelserna om delaktighet efter ?/, af lönen skola gälla, utan utskottet har gjort en nedprutning och en inskränkning så till vida, att ifrågavarande lärare endast skulle erhålla pension till högst ”/; af lönen. Därvid har utskottet naturligtvis åberopat den nyss antagna pensionslagen. Utskottet säger nämligen: »En sådan beräkning har utskottet dock ansett i förevarande fall leda till väl höga pensioner.» Ja, därom kunna naturligtvis meningarna vara delade. För min del har jag den uppfattning, att dessa lärareoch lärarinnetjänster äro af ofantligt stor betydelse för folkskoleundervisningen. Det är vid dessa seminariernas öfningsskolor, som de blifvande lärarne och </w:t>
      </w:r>
      <w:r>
        <w:rPr>
          <w:b/>
        </w:rPr>
        <w:t>lärarinnorna³</w:t>
      </w:r>
      <w:r>
        <w:rPr>
          <w:b w:val="0"/>
        </w:rPr>
        <w:t xml:space="preserve"> skola vinna sin praktiska utbildning för kallet. Och då är det naturligtvis af stor vikt och betydelse, att i spetsen för dessa skolor stå de allra bästa lärarekrafter, som äro att vinna i landet. Men det kan man naturligtvis icke få, med mindre man gifver dem sådana löner och pensioner, att dessa tjänster äro begärliga. Men om man gifver dem mindre löner och pensioner, än folkskollärarne i de större städerna erhålla, har man naturligtvis icke utsikt att få de bästa lärarekrafterna.</w:t>
        <w:br/>
        <w:br/>
        <w:t xml:space="preserve">Nu är det så, att åtskilliga af våra större städer ha beviljat sina lärare och ' </w:t>
      </w:r>
      <w:r>
        <w:rPr>
          <w:b/>
        </w:rPr>
        <w:t>lärarinnor³</w:t>
      </w:r>
      <w:r>
        <w:rPr>
          <w:b w:val="0"/>
        </w:rPr>
        <w:t xml:space="preserve"> en särskild tilläggspension. Om Kungl. Maj:ts förslag bifölles, så skulle en lärare vid seminariernas öfningsskolor få en pension af 1,950 kronor. Men enligt utskottets förslag skulle den nedprutas till 1,734 kronor. En manlig lärare får i pension: i Stockholm 2,380 kronor, i Göteborg 2,100 kronor och i Norrköping 1,960 kronor, således i alla dessa fall högre, än hvad Kungl. Maj:t här har ifrågasatt, och väsentligt högre, än hvad som blifvit af utskottet föreslaget. </w:t>
      </w:r>
      <w:r>
        <w:rPr>
          <w:b/>
        </w:rPr>
        <w:t>Lärarinnorna³</w:t>
      </w:r>
      <w:r>
        <w:rPr>
          <w:b w:val="0"/>
        </w:rPr>
        <w:t xml:space="preserve"> skulle få en pension enligt Kungl. Maj:ts förslag utaf 1,500 kronor och enligt utskottets at 1,334 kronor. Men i Stockholm får en folkskollärarinna en pension af 1,610 kronor och t. ex. i Norrköping 1,365 kronor, således i båda fallen högre, än hvad som skulle blifva fallet enligt utskottets förslag.</w:t>
        <w:br/>
        <w:br/>
        <w:t xml:space="preserve">Utskottet vill icke gifva dessa lärare eller </w:t>
      </w:r>
      <w:r>
        <w:rPr>
          <w:b/>
        </w:rPr>
        <w:t>lärarinnor³</w:t>
      </w:r>
      <w:r>
        <w:rPr>
          <w:b w:val="0"/>
        </w:rPr>
        <w:t xml:space="preserve"> högre pension än beräknad efter ”', af lönen, men det är att märka, att när Riksdagen år 1904 beslöt den nya läroverksorganisationen, så bestämde Riksdagen, att öfningslärarne vid seminarierna skulle få pension med ”', af lönen. Således blefve det, om utskottets förslag nu bifölles, på det! viset, att en seminarielärare uti teckning och sång skulle få en pension till belopp af "/, af lönen, under det at</w:t>
        <w:br/>
        <w:br/>
        <w:t>de lärare, som förestå seminariernas öfningsskolor, icke skulle blifva delaktiga för mer än ”/, af lönen. Jag tror icke, att det är rättvist att reglera på ett sådant sätt.</w:t>
        <w:br/>
        <w:br/>
        <w:t>Med hänsyn till dessa lärareplatsers stora vikt och betydelse för folkundervisningen, hemställer jag om rent bifall till Kungl. Maj:ts förslag utan den inskränkning, som utskottet har föreslagit.</w:t>
      </w:r>
    </w:p>
    <w:p>
      <w:pPr>
        <w:pStyle w:val="Heading2"/>
      </w:pPr>
      <w:r>
        <w:t>4. Carl Persson (Lantmanna- och borgarepartiet inom andrakammaren, man)</w:t>
      </w:r>
    </w:p>
    <w:p>
      <w:r>
        <w:rPr>
          <w:b w:val="0"/>
        </w:rPr>
        <w:t xml:space="preserve">Herr talman! Jag ber att få yrka bifall till utskottets förslag i denna punkt. Dessa lärare vid seminariernas öfningsskolor hafva hittills icke haft högre pensionsrätt än folkskollärare och folkskollärarinnor. Men genom utskottets förslag skulle för manliga lärare pensionsrätten höjas med 721 kronor och för </w:t>
      </w:r>
      <w:r>
        <w:rPr>
          <w:b/>
        </w:rPr>
        <w:t>kvinnliga¹</w:t>
      </w:r>
      <w:r>
        <w:rPr>
          <w:b w:val="0"/>
        </w:rPr>
        <w:t xml:space="preserve"> lärare med 434 kronor. Månne icke denna höjning af pensionsrätten är väl tilltagen? Och det är att märka, att de pensionsafgifter, som skoldistrikten hafva skyldighet att betala, utgå till denna del af statsverket, under det att lärarna i öfrigt få betala sina afgifter i enlighet med hvad bestämts för folkskollärarne.</w:t>
        <w:br/>
        <w:br/>
        <w:t>När nu pensionsrätten höjts så väsentligt, har utskottet för sin del ansett, att denna höjning skulle kunna utjämnas till ”/; utaf löneförmånerna, något, som gäller för alla civila statstjänare, hvilkas aflöning ej är delad i lön och tjänstgöringspenningar. Här är ju icke aflöningen delad i lön och tjänstgöringspengar, utan pensionsrätten grundar sig på slutaflöningen med en viss del af denna såsom pension.</w:t>
        <w:br/>
        <w:br/>
        <w:t xml:space="preserve">Nu säges det här, att denna pensionsrätt skulle komma att något understiga hvad folkskollärarne och </w:t>
      </w:r>
      <w:r>
        <w:rPr>
          <w:b/>
        </w:rPr>
        <w:t>lärarinnorna³</w:t>
      </w:r>
      <w:r>
        <w:rPr>
          <w:b w:val="0"/>
        </w:rPr>
        <w:t xml:space="preserve"> i åtskilliga städer hafva. Men det är att märka, att kommunerna ju hafva rätt att lämna vederbörande löner och pensioner huru höga som helst utan att statsverket eller Riksdagen får lägga sig i den frågen. Riksdagen har endast att besluta i fråga om de löner och pensioner, som Riksdagen anser böra tillerkännas lärarne och </w:t>
      </w:r>
      <w:r>
        <w:rPr>
          <w:b/>
        </w:rPr>
        <w:t>lärarinnorna³</w:t>
      </w:r>
      <w:r>
        <w:rPr>
          <w:b w:val="0"/>
        </w:rPr>
        <w:t>. Vill sedermera det samhälle, som åtnjuter deras tjänster, betala mera, står det naturligtvis det samhället alldeles fritt. Icke kan väl sålunda Riksdagen i detta fall följa de privata samhällena. Huruvida de betala sina tjänare ett extra tillskott utöfver hvad Riksdagen beslutat, det anser jag för min del icke alls bör hafva något inflytande på denna fråga.</w:t>
        <w:br/>
        <w:br/>
        <w:t>Då nu äfven Första Kammaren i dag har godkänt utskottets hemställan, tycker jag, att, för att få denna fråga löst, äfven Andra Kammaren bör fatta samma beslut, som med ett så högst väsentligt belopp höjer pensionsrätten för den personal, som det här gäller.</w:t>
        <w:br/>
        <w:br/>
        <w:t>Jag ber att få yrka bifall till utskottets förslag.</w:t>
      </w:r>
    </w:p>
    <w:p>
      <w:pPr>
        <w:pStyle w:val="Heading2"/>
      </w:pPr>
      <w:r>
        <w:t>5. Hugo Hammarskjöld (Första kammarens moderata parti, man)</w:t>
      </w:r>
    </w:p>
    <w:p>
      <w:r>
        <w:rPr>
          <w:b w:val="0"/>
        </w:rPr>
        <w:t>Herr talman, mina herrar! Endast några få ord! Det fanns icke den ringaste anledning för Kungl. Maj:t att beträffande de nu ifrågavarande lärarnes pensionering frångå de grunder, som tillämpas på hela den öfriga folkskollärarepersonalen. Den senare har 3/, af sin lön i pension, och hvarför man nu för de förra skulle</w:t>
        <w:br/>
        <w:br/>
        <w:t xml:space="preserve">sätta ned den till ?/;, det har åtminstone jag ej kunnat förstå. Det enda skäl, som af utskottet blifvit anfördt, är, att det tycker, att pensionen skulle blifva för hög. Jag vill gärna erkänna, att pensionen är ganska rikligt tilltagen, men det är med afsikt man vill hafva den riklig, liksom det är med afsikt man förut beviljat rikliga löner åt just dessa lärare och </w:t>
      </w:r>
      <w:r>
        <w:rPr>
          <w:b/>
        </w:rPr>
        <w:t>lärarinnor³</w:t>
      </w:r>
      <w:r>
        <w:rPr>
          <w:b w:val="0"/>
        </w:rPr>
        <w:t>. Ty deras platser äro de allra viktigaste inom folkskoleväsendet, och till dem får man endast taga själfva eliten af kåren. Man måste söka förvärfva det bästa, som finnes att få, ty endast det bästa är härvidlag godt nog. Och för att få det bästa, har Riksdagen förut höjt lönen för dem ganska betydligt, liksom äfven Kungl. Maj:t af samma skäl föreslagit, att deras pension skulle stå i öfverensstämmelse med lönen, till följd hvaraf äfven pensionen blifvit ganska hög. Något särskildt skäl annat än det, att utskottet tyckt, att pensionen blir för hög, har jag ej hört framställas. Under sådana förhållanden kan jag ej förstå, att det föreligger något tillräckligt skäl att afslå Kungl. Maj:ts framställning.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1049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