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1059</w:t>
      </w:r>
    </w:p>
    <w:p>
      <w:r>
        <w:rPr>
          <w:b/>
        </w:rPr>
        <w:t xml:space="preserve">Datum: </w:t>
      </w:r>
      <w:r>
        <w:t>1908-02-11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John Erlansson (Nationella framstegspartiet, man)</w:t>
      </w:r>
    </w:p>
    <w:p>
      <w:r>
        <w:rPr>
          <w:b w:val="0"/>
        </w:rPr>
        <w:t>Jag är utskottet tacksam därför att det har erkänt, att motionen innebär en fullt riktig tanke. Utskottet fruktar dock för, att denna tanke icke skulle kunna blifva en riktig handling. Men vi torde veta, att, då en riktig tanke blir riktigt utredd och riktigt omsatt i handling, däraf också blir en riktig handling. Utskottet menar, att det i vissa fall möjligen skulle kunna ordnas så, att saken blefve till gagn. Men ofta skulle en sådan beskattning blifva orättvis och obillig, påstår utskottet. Det kan väl vara, att, hvilken lag vi än försöka få till stånd, den 1 verkligheten icke kan verka fullkomligt rättvis. Vi finna t. ex. hvad strafflagen beträffar, att det är många brottslingar, som gå fria från straff, under det att det finnes oskyldiga personer, som få lida straff. Ja, vi hafva t. o. m. bevis på att oskyldiga fått lida döden. Men vi kunna väl icke fördenskull betrakta strafflagen såsom onödig och icke gagnande. Så tror jag, att det förhåller sig äfven i det här föreliggande fallet. Äfven om man icke kunde i hvarje speciellt fall träffa det rätta, kunde dock lagen i dess helhet vara till gagn och nytta.</w:t>
        <w:br/>
        <w:br/>
        <w:t>Vidare anför utskottet, att det icke är säkert, att den ogifte och barnlöse har större skatteförmåga än den gifte. Ja, detta är sant, om vi jämföra miljonären med arbetaren. Men det är ju icke fråga om någonting i den vägen, utan det är fråga om att jämföra den, som t. ex. har 2,000 kronors inkomst såsom ogift, med den, som har 2,000 kronors inkomst såsom gift, och då torde vi väl hvar och en medgifva, att den ogifte har större förmåga att betala skatt. :</w:t>
        <w:br/>
        <w:br/>
        <w:t xml:space="preserve">Jag har i min motion anfört ett exempel. Jag skall icke upprepa det, men jag tager mig friheten anföra ett annat. Jag tänker mig en ogift man och en ogift </w:t>
      </w:r>
      <w:r>
        <w:rPr>
          <w:b/>
        </w:rPr>
        <w:t>kvinna¹</w:t>
      </w:r>
      <w:r>
        <w:rPr>
          <w:b w:val="0"/>
        </w:rPr>
        <w:t xml:space="preserve">, som hafva en årsinkomst af ett tusen kronor hvardera. Detta blir två tusen kronor tillsammans. På dessa 2,000 kronor åtnjuta de bevillningsfritt afdrag af 900 kronor. Ingå dessa två äktenskap med hvarandra, måste </w:t>
      </w:r>
      <w:r>
        <w:rPr>
          <w:b/>
        </w:rPr>
        <w:t>kvinnan¹</w:t>
      </w:r>
      <w:r>
        <w:rPr>
          <w:b w:val="0"/>
        </w:rPr>
        <w:t xml:space="preserve"> i regel afstå från sin inkomst, och då få de sammanlagdt jämt hälften så stor årsinkomst, som de hade, då de voro ogifta. Men så inträffar det märkvärdiga, att, under det att de såsom ogifta hade 2,000 kronor att försörja sig på och 900 kronors bevillningsfritt afdrag, de, när de blifva gifta, få försörja sig på 1,000 kronor med endast 450 kronors bevillningsfritt afdrag. Sålunda minskas det bevillningsfria afdraget, då de hafva mindre att lefva på och möjligen få barn att försörja. Skulle det däremot hända sig, att mannen nödgades för sin utkomst söka en bättre anställning och lyckades erhålla 2,000 kronors årlig inkomst, så hade de lika mycket som</w:t>
        <w:br/>
        <w:br/>
        <w:t>de såsom ogifta sammanlagdt åtnjöto, men nu hade de icke alls Angående något bevillningsfritt afdrag, under det att de, då de lefde hvar för Se Mr sig, hade sådant afdrag af sammanlagdt 900 kronor. "dels ogifta Att denna rättvisa är så stor, att det icke ens skulle löna sig personer, dels att begära en utredning i syfte att få det bättre ställdt, må den ock barnlösa påstå, som kan och vill. Jag kan åtminstone icke följa utskottets ””(Forts) "me tankegång, när utskottet menar, att saken är så obetydlig och att | vinsten af ett rättvist arrangemang skulle blifva så ringa, att det icke ens lönar sig att försöka en utredning i detta ärende. Jag tror, att, om tanken är riktig, såsom utskottet medgifvit, en riktig tanke väl är värd en utredning, och då utredning komme, finge ju Riksdagen se, om den vore af den art, att Riksdagen kunde godkänna den eller icke. Därför skulle jag gärna önska, att Riksdagen i stället för att följa utskottets tankegång verkligen beslöte en skrifvelse till Kungl. Maj:t angående utredning i ärendet.</w:t>
      </w:r>
    </w:p>
    <w:p>
      <w:pPr>
        <w:pStyle w:val="Heading2"/>
      </w:pPr>
      <w:r>
        <w:t>2. Aaby Ericsson (Första kammarens protektionistiska parti, man)</w:t>
      </w:r>
    </w:p>
    <w:p>
      <w:r>
        <w:rPr>
          <w:b w:val="0"/>
        </w:rPr>
        <w:t>Herr talman, mina herrar! Ja, utskottet har gifvit motionären rätt i så måtto, att man ansett hans tankegång vara riktig, då han velat träffa bärkraften vid utkräfvande af skatt. Men utskottet har däremot ansett, att, därest hans förslag skulle blifva antaget, man icke hade gått den rätta .vägen för att träffa bärkraften. Det förekommer ofta, att det finnes ogifta personer, som icke blott och bart hafva att försörja sig själfva, utan hafva gamla föräldrar eller måhända en hel del unga syskon, som de få lof att försörja. Skulle man nu antaga en lag, som ålade ogifta att betala särskild skatt, så skulle den orättvisan möjligen i de flesta fall göra sig gällande, att man just träffade de mindre bärkraftiga, under det att de andra sluppe undan, ty de, som försörja sina föräldrar eller sina unga syskon, äro vanligen ordentliga personer, och de hafva kanske eget hushåll, så att, om det blir fråga om att uttaga skatten, man kan göra det exekutivt. Men huru ställer det sig med en hel del andra unga personer? Jo, vanligen hafva de, äfven om de åtnjuta en ganska stor inkomst, icke satt något bo, utan äro inhysta än här och än där, och om en exekutionsbetjänt kommer och försöker uttaga skatten, hafva de inga tillgångar. Icke kan det vara lämpligt att åstadkomma en lagstiftning, som kommer att verka så orättvist, och det är just detta, som utskottet har menat, då utskottet pekar på att det icke skulle låta sig göra att, på sätt motionären föreslagit, fullfölja den vackra tanke, som han velat framhålla.</w:t>
        <w:br/>
        <w:br/>
        <w:t>Med anledning af det anförda ber jag att få yrka bifall till utskottets förslag.</w:t>
      </w:r>
    </w:p>
    <w:p>
      <w:pPr>
        <w:pStyle w:val="Heading2"/>
      </w:pPr>
      <w:r>
        <w:t>3. Carl Lindhagen (Socialdemokraterna, man)</w:t>
      </w:r>
    </w:p>
    <w:p>
      <w:r>
        <w:rPr>
          <w:b w:val="0"/>
        </w:rPr>
        <w:t>Herr talman! Jag vill icke bestrida, att utskottet kan hafva rätt uti, att man på det beståendes grund icke gärna kan komma till annat resultat än det, till hvilket utskottet har kommit. Men jag tycker i alla fall, att det icke hade skadat, om utskottet hade något närmare fäst sig vid den stora och till äfventyrs bärande tanke, som dock ligger bakom dessa motioner.</w:t>
        <w:br/>
        <w:br/>
        <w:t xml:space="preserve">Jag vill fästa kammarens uppmärksamhet på, att här har väckts en annan motion, som egentligen hör samman med dessa, men som på grund af bestämmelserna i arbetsordningen kommit till annat utskott, nämligen en motion af herr Sedén. Han har föreslagit utredning rörande en helt och hållet ny grund för reglering af alla tjänstemäns löner, byggd på att tillgodose behofvet och icke enbart på arbetets kvantitet. Han har där också framhållit, att man just borde utgå från att den, som står ensam, ogift eller gift utan barn, bör kunna hafva en grundlön, som är något mindre än den persons lön, som har bildat familj, och på detta sätt vill han också lösa den mycket brännande, i en framtid synnerligen aktuella frågan om lika lön för lika arbete, bedömd ur manlig och </w:t>
      </w:r>
      <w:r>
        <w:rPr>
          <w:b/>
        </w:rPr>
        <w:t>kvinnlig¹</w:t>
      </w:r>
      <w:r>
        <w:rPr>
          <w:b w:val="0"/>
        </w:rPr>
        <w:t xml:space="preserve"> synpunkt. Jag vill icke säga, att jag har någon bestämd uppfattning om, huru dessa stora frågor skola lösas. Men den tanke, som herr Sadén har framkastat, har också blifvit aktuell i vårt grannland Finland, och vi lära icke undgå att en gång komma frågan grundligare in på lifvet. Detta ligger bakom dessa motionärers förslag, ehuru de icke tagit steget fullt ut, utan sökt på det beståendes grund tillämpa en princip, som dock fordrar en ombildning af själfva aflöningssättet. Jag har ansett, att, då motionerna blifvit väckta, åtminstone någon borde säga detta för att fästa uppmärksamheten på den viktiga tanke, som ligger bakom förslagen och som nog i sinom tid kommer att föranleda närmare öfvervägande än vi nu äro beredda och förmögna att ingå på.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