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1062</w:t>
      </w:r>
    </w:p>
    <w:p>
      <w:r>
        <w:rPr>
          <w:b/>
        </w:rPr>
        <w:t xml:space="preserve">Datum: </w:t>
      </w:r>
      <w:r>
        <w:t>1908-02-27</w:t>
      </w:r>
    </w:p>
    <w:p>
      <w:r>
        <w:rPr>
          <w:b/>
        </w:rPr>
        <w:t xml:space="preserve">Kammare: </w:t>
      </w:r>
      <w:r>
        <w:t>Andra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unknown (–, –)</w:t>
      </w:r>
    </w:p>
    <w:p>
      <w:r>
        <w:rPr>
          <w:b w:val="0"/>
        </w:rPr>
        <w:t>Då herr statsrådet och chefen</w:t>
        <w:br/>
        <w:br/>
        <w:t>Älfgö. för civildepartementet är närvarande, skall jag taga mig friheten fästa uppmärksamheten på ett par frågor, som äro af särdeles stor och vital betydelse för Stockholms stad och som sammanhänga med den nu föredragna punkten.</w:t>
        <w:br/>
        <w:br/>
        <w:t>Det har här ifrågasatts, att medel skulle anslås för anläggning af nytt spår mellan Älfsjö och Liljeholmen, på samma gång som Liljeholmens station skulle blifva ombyggd. Vidare pågå för närvarande arbeten för förstärkning af broarna öfver Mälaren, så att två tåg skulle där kunna mötas. Med dessa anordningar har man ju möjliggjort, att en större trafik upptages på sammanbindningsbanan.</w:t>
        <w:br/>
        <w:br/>
        <w:t>Nu är det visserligen så, som äfven i den kungl. propositionen framhållits, att denna anordning endast skulle vara provisorisk och icke på något sätt utgöra hinder för att västra stambanan så fort som möjligt får sin tilltänkta nya riktning. Men man framhåller också, att det kan dröja ännu minst 10 år, innan detta blir fullbordadt, och därför ha de nämnda åtgärderna varit nödvändiga.</w:t>
        <w:br/>
        <w:br/>
        <w:t>Det är dock många, som tro, att det just genom ifrågavarande anordningar kan dröja åtskilligt länge, innan svenska staten definitivt fastslår, huru den vill hafva den nya stambanan dragen, och däraf uppstå för Stockholms stad i flera afseenden högst betydande svårigheter, på hvilka jag ber att få fästa uppmärksamheten, för att icke detta anslag måtte leda till ett sådant resultat.</w:t>
        <w:br/>
        <w:br/>
        <w:t>Staden har inom sitt planlagda område hittills just för att möjliggöra västra stambanans indragande i förändradt läge inköpt fastigheter för 1,271,000 kronor. Staden har härigenom velat förhindra, att områdena skulle blifva bebyggda och byggnaderna ligga i vägen för järnvägen.</w:t>
        <w:br/>
        <w:br/>
        <w:t>Vidare har Stockkolms stad från ordentlig stadsplans upp- Angående görande och disponerande för bebyggande undantagit vidsträckta ör dfrEna på områden både på Södermalm och å Kungsholmen. Det är för furmwågsepår bostadsfrågans lösning i Stockholm synnerligen önskvärdt, att ett mellan Liljesådant tillstånd icke i längden fortfar. holmen och</w:t>
        <w:br/>
        <w:br/>
        <w:t>Därjämte har staden inköpt stora egendomar inom bland Ålfsjö. annat Brännkyrka socken. Det är naturligt, att dessa områdens (Forts. exploaterande för bostadsändamål, hvilket är synnerligen angeläget, icke kan ske, förrän västra stambanans indragande öfver områdena och platsen för den stora rangeringsbangården definitivt bestämts. Man kan dessförinnan icke uppgöra stadsplan för ifrågavarande områden annat än för vissa utkanter, och under tiden får denna landssträcka, som ju kunde tjäna till att afhjälpa bostadsnöden i Stockholm, ligga obegagnad. Detta är också en ytterst vital fråga för Stockholm.</w:t>
        <w:br/>
        <w:br/>
        <w:t>Vidare kan man icke anordna några förstadsbanor, hvarken</w:t>
        <w:br/>
        <w:br/>
        <w:t>från stadens egendomar inom Brännkyrka eller Bromma, innan man åtminstone får veta, hvar den stora stambanan skall ligga. Men utan sådana förstadsbanor är det omöjligt att bebygga ifrågavarande områden i större omfattning, då de stadsinvånare, som skola bo där, måste erhålla snabba kommunikationer till sina arbetsplatser.</w:t>
        <w:br/>
        <w:br/>
        <w:t>Slutligen kommer det för staden att möta stort hinder att upptaga den så kallade Hammarbyleden för beredande af lättad sjötrafik mellan Mälaren och Saltsjön. Detta förutsätter nämligen, att det skall byggas en järnvägsbro, som går på segelfri höjd öfver Årstaviken. Men så länge den stora trafiken skall upprätthållas öfver Liljeholmen, blir ett sådant företag så godt som omöjliggjordt.</w:t>
        <w:br/>
        <w:br/>
        <w:t>Jag vill därför uttala den förhoppningen, att ett så skyndsamt afgörande som möjligt af frågan, hvar den nya indragningslinjen för Västra stambanan skall förläggas, måtte äga rum.</w:t>
        <w:br/>
        <w:br/>
        <w:t>I sammanhang härmed skall jag tillåta mig fästa uppmärksamheten därpå, att i den föreliggande propositionen har man från statsverkets sida tänkt sig, att Stockholms stad icke skulle, såsom tillämnadt var, ensam få bygga den bana, som erfordras från slakthuset å Enskede till Liljeholmens station, utan statsverket skulle bygga den del, som är närmast Liljeholmen, äfvensom den tunnel, som blir erforderlig. Sedan skulle det tagas upp afgifter från Stockholms stad för den bandelen. Jag vill därför framhålla önskvärdheten af att de byggen, som skola företagas, måtte inriktas på att denna tunnel och förbindelsen med stationen först kommer till stånd, så att Stockholms stad kan anknyta den linje staden själf skall bygga till den öfriga linjen. Det erfordras snart en bana för transport för slakthusets behof och för transport af byggnadsmaterial för uppförande af byggnader vid Enskede.</w:t>
        <w:br/>
        <w:br/>
        <w:t>Älfsjö. Jag har velat göra dessa erinringar till herr statsrådets be-</w:t>
        <w:br/>
        <w:br/>
        <w:t xml:space="preserve">täcktes Kungl. Maj:t låta utarbeta och för Riksdagen framlägga förslag till sådana lagbestämmelser, att det blefve gift </w:t>
      </w:r>
      <w:r>
        <w:rPr>
          <w:b/>
        </w:rPr>
        <w:t>kvinna¹</w:t>
      </w:r>
      <w:r>
        <w:rPr>
          <w:b w:val="0"/>
        </w:rPr>
        <w:t xml:space="preserve"> medgifvet att under vissa i lagen fastställda villkor, såsom uppnådd myndighetsålder m. m., blifva förmyndare för sin man, som förklarats omyndig.</w:t>
      </w:r>
    </w:p>
    <w:p>
      <w:pPr>
        <w:pStyle w:val="Heading2"/>
      </w:pPr>
      <w:r>
        <w:t>2. Theodor Zetterstrand (Frisinnade försvarsvänner, man)</w:t>
      </w:r>
    </w:p>
    <w:p>
      <w:r>
        <w:rPr>
          <w:b w:val="0"/>
        </w:rPr>
        <w:t xml:space="preserve">Herr talman, mina herrar! Angående Först några ord beträffande själfva saken. Pesgranet för Det kan emellanåt inträffa, att en man utaf en eller annan ,$ sara för anledning måste ställas under förmyndare, men att han har en myndare för </w:t>
      </w:r>
      <w:r>
        <w:rPr>
          <w:b/>
        </w:rPr>
        <w:t>hustru²</w:t>
      </w:r>
      <w:r>
        <w:rPr>
          <w:b w:val="0"/>
        </w:rPr>
        <w:t xml:space="preserve">, som är väl skickad till att förestå boet och att utöfva sin man, som förmynderskap öfver honom. Det finns då en och annan domförklarats stol, som i dylikt fall förordnar </w:t>
      </w:r>
      <w:r>
        <w:rPr>
          <w:b/>
        </w:rPr>
        <w:t>hustrun²</w:t>
      </w:r>
      <w:r>
        <w:rPr>
          <w:b w:val="0"/>
        </w:rPr>
        <w:t xml:space="preserve"> till förmyndare, men fler- (Forts | talet af våra domstolar torde i allmänhet icke göra detta, emedan (Forts.) de anse sig icke hafva stöd därför i uttrycklig lag. Riksdagen har beaktat detta missförhållande vid ett föregående tillfälle, då Riksdagen år 1903 aflät en skrifvelse i ämnet till Kungl. Maj:t, gående ut därpå, att dylikt förordnande skulle kunna legaliseras. Den skrifvelse, som afläts 1903, omfattade emellertid en hel del frågor rörande </w:t>
      </w:r>
      <w:r>
        <w:rPr>
          <w:b/>
        </w:rPr>
        <w:t>hustruns²</w:t>
      </w:r>
      <w:r>
        <w:rPr>
          <w:b w:val="0"/>
        </w:rPr>
        <w:t xml:space="preserve"> rättsliga ställning. Den omfattade sålunda bland annat, dels det förhållande, som omförmäles i detta lagutskottsutlåtande, dels ock de förhållanden, som omförmälas i lagutskottets nästa utlåtande n:o 15. Regeringen ha emellertid icke ännu vidtagit några åtgärder i frågan — och jag föreställer mig, att anledningen därtill är den, att man vill afvakta den stora omarbetningen af giftermålsbalken, som väntas snart nog komma till stånd. Nu ha emellertid bägge dessa frågor ånyo blifvit väckta på tal, och de äro efter mitt förmenande af ungefär enahanda betydenhet. Men då har det märkliga inträffat, att lagutskottet hemställt, att man skulle aflåta en påminnelseskrifvelse i detta ärende, men däremot icke en påminnelseskrifvelse i nästa ärende, fastän båda dessa ärenden äro fullkomligt adekvata. Jag har visserligen icke den uppfattningen, att man icke under några omständigheter skulle kunna aflåta sådana påminnelseskrifvelser. Det inträffar ju, att ett ärende är af så ovanligt stor vikt, att man därför anser, att regeringen bör påminnas om att taga frågan under skyndsam behandling. Jag kan nu emellertid icke för min del finna, att några sådana extraordinära förhållanden här föreligga, hvarför man just i det ena af dessa ärenden särskildt, men icke i det andra, skulle aflåta en dylik påminnelseskrifvelse. Därför har jag inom utskottet intagit den ställning, att utskottet skulle behandla dessa båda ärenden lika, och, med uttalande af sina fortfarande sympatier för båda ärendena, låta bero vid den skrifvelse, som redan blifvit aflåten. För att Riksdagen i detta fall måtte handla konsekvent, och då frågorna, som sagdt, icke äro af den öfverväldigande betydelse, att påminnelseskrifvelser böra aflåtas, tager jag mig friheten hemställa om afslag å såväl den i ämnet väckta motionen som å utskottets hemställan.</w:t>
      </w:r>
    </w:p>
    <w:p>
      <w:pPr>
        <w:pStyle w:val="Heading2"/>
      </w:pPr>
      <w:r>
        <w:t>3. Carl Lindhagen (Socialdemokraterna, man)</w:t>
      </w:r>
    </w:p>
    <w:p>
      <w:r>
        <w:rPr>
          <w:b w:val="0"/>
        </w:rPr>
        <w:t>Skillnaden mellan herr Zetterstrands uppfattning och utskottets uppfattning är i detta fall mycket enkel.</w:t>
        <w:br/>
        <w:br/>
        <w:t xml:space="preserve">behörighet för gift </w:t>
      </w:r>
      <w:r>
        <w:rPr>
          <w:b/>
        </w:rPr>
        <w:t>kvinna¹</w:t>
      </w:r>
      <w:r>
        <w:rPr>
          <w:b w:val="0"/>
        </w:rPr>
        <w:t xml:space="preserve"> att vara för-</w:t>
        <w:br/>
        <w:br/>
        <w:t>herr Zetterstrand håller före, att man bör vänta därmed några år framåt, till dess att den stora omarbetningen af giftermåls-</w:t>
        <w:br/>
        <w:br/>
        <w:t>myndare för balken ägt rum. Man kan ju förfara på båda sätten. Men när sin man, som utskottet för en gångs skull icke, såsom det eljest gärna brukar</w:t>
        <w:br/>
        <w:br/>
        <w:t>göra, velat hänskjuta frågans lösning till långt bort i en framtid, då man kan vänta sig en utredning i densamma, utan verkligen har velat vara med om, att, såsom det också står i motiveringen, denna fråga måtte lösas så snart som möjligt, har jag för min del icke kunnat annat än instämma med utskottet.</w:t>
        <w:br/>
        <w:br/>
        <w:t xml:space="preserve">Frågan är ju helt enkelt den, om domstolarna skola få rättighet att förordna </w:t>
      </w:r>
      <w:r>
        <w:rPr>
          <w:b/>
        </w:rPr>
        <w:t>hustru²</w:t>
      </w:r>
      <w:r>
        <w:rPr>
          <w:b w:val="0"/>
        </w:rPr>
        <w:t xml:space="preserve"> till förmyndare för sin man. En hel del domstolar förfara redan nu på det sättet, men andra göra det icke. Därigenom uppstår en tvekan uti lagtillämpningen, som icke kan vara nyttig. Olägenheterna härutinnan torde kunna afhjälpas med ett penndrag, och då motionären önskar det och då verkligen här ett litet missförhållande föreligger, hvarför skall man då icke afhjälpa det genast? Hade motionären framlagt ett lagförslag i denna del, hade Riksdagen kunnat genast på rak arm antaga detsamma. Nu har motionären endast begärt en skrifvelse, och jag tycker därför, att man gärna kan göra en dylik framställning till Kungl. Maj:t.</w:t>
        <w:br/>
        <w:br/>
        <w:t xml:space="preserve">En sådan framställning kunde för öfrigt ha samma verkan som en interpellation till Kungl. Maj:t. Det skulle bli en interpellation i kraftigare form än den, som förra året ägde rum uti just denna fråga, med framhållande af, att Kungl. Maj:t bör se till, om icke möjligen i tid något kunde göras för att afhjälpa de missförhållanden, som de målmedvetna </w:t>
      </w:r>
      <w:r>
        <w:rPr>
          <w:b/>
        </w:rPr>
        <w:t>kvinnorna¹</w:t>
      </w:r>
      <w:r>
        <w:rPr>
          <w:b w:val="0"/>
        </w:rPr>
        <w:t xml:space="preserve"> så mycket framhålla och som ligga i mannens bestående målsmanskap. Det interpellerades ju förra året om den saken, och justitieministern antydde då, att han icke trodde, att frågan på länge kunde komma upp. Men den kan ju nu på ett kraftigare sätt hänskjutas till Kungl. Maj:ts bedömande, om vi blott aflåta den här föreslagna skrifvelsen.</w:t>
        <w:br/>
        <w:br/>
        <w:t xml:space="preserve">I hvarje händelse är det första skälet det viktigaste, nämligen det: hvarför skall man dröja många år med att afhjälpa en så enkel sak som att låta alla domstolar i landet veta, att de få förordna gift </w:t>
      </w:r>
      <w:r>
        <w:rPr>
          <w:b/>
        </w:rPr>
        <w:t>kvinna¹</w:t>
      </w:r>
      <w:r>
        <w:rPr>
          <w:b w:val="0"/>
        </w:rPr>
        <w:t xml:space="preserve"> till förmyndare för sin man?</w:t>
        <w:br/>
        <w:br/>
        <w:t>Jag yrkar sålunda bifall till lagutskottets förevarande hemställan.</w:t>
        <w:br/>
        <w:br/>
        <w:t>att vara för-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1062</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