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1070</w:t>
      </w:r>
    </w:p>
    <w:p>
      <w:r>
        <w:rPr>
          <w:b/>
        </w:rPr>
        <w:t xml:space="preserve">Datum: </w:t>
      </w:r>
      <w:r>
        <w:t>1908-03-26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Julius Ödman (Lantmannapartiet, man)</w:t>
      </w:r>
    </w:p>
    <w:p>
      <w:r>
        <w:rPr>
          <w:b w:val="0"/>
        </w:rPr>
        <w:t>Herr talman! En fråga, som</w:t>
        <w:br/>
        <w:br/>
        <w:t>i snart hundra år stått på dagordningen, är frågan om patronats-</w:t>
        <w:br/>
        <w:br/>
        <w:t>rättens upphörande. Men ehuru man allmänt synes vara öfverens</w:t>
        <w:br/>
        <w:br/>
        <w:t>om otidsenligheten, ja — orättvisan i detta från medeltiden ned-</w:t>
        <w:br/>
        <w:br/>
        <w:t>ärfda privilegium, så har likväl ännu intet af egentligt värde</w:t>
        <w:br/>
        <w:br/>
        <w:t>föreslagits för att göra ett slut härpå, utan detta missförhållande</w:t>
        <w:br/>
        <w:br/>
        <w:t>florerar ännu i hela sin föråldrade glans — och kan gifva an-</w:t>
        <w:br/>
        <w:br/>
        <w:t>ledning att beteckna oss som en efterblifven nation.</w:t>
        <w:br/>
        <w:br/>
        <w:t>Denna efterblifvenhet framgår bäst i jämförelse med våra grannländer Danmark, Norge och Finland. I alla dessa land är patronatsrätten för länge sedan utdömd och försvunnen, och i Danmark och Norge följde den med i fallet af de adliga privilegierna.</w:t>
        <w:br/>
        <w:br/>
        <w:t>Emellertid har sagts, att hos oss patronatsrätten ej till sitt ursprung vore ett adligt privilegium, och att, om från början det än varit en offentlig rätt, den numera befunne sig under enskild ägo och allenast förlikningsvis kunde sättas ur kraft. Såväl det ena som det andra gäller dock äfven patronatsrättens förekomst i andra länder och har ej hindrat dem från att i det allmännas intresse afskaffa densamma just som en adlig företrädesrättighet.</w:t>
        <w:br/>
        <w:br/>
        <w:t>I striden för sin läras och kyrkas intressen sökte prästerskapet i gamla tider därmed tillvinna sig understöd af de förnämligare jorddrottarna i landet, och sedan adeln utbildat sig till ett särskildt högre stånd, kommo dess medlemmar i uteslutande besittning däraf. Att förhållandet utvecklade sig på samma sätt i Sverige, därpå lämnas än i dag bevis af 1723 års Adeliga privilegier 8 7, som kännetecknar patronatsrätten såsom en frälse förmån. I Norge och Danmark har jämväl patronatsrättens bestånd hållits för oförenligt med deras nu gällande grundlagar. Hvad Norge angår, afgafs 1821 förklaring af detta innehåll, under erinran om Konungens rätt att tillsätta ämbetsmän. För Danmarks del har patronatsrättens upphörande åter utan vidare ansetts ligga i 1849 års Grundlovs stadgande: »enhver i lovgivningen til adelstitel og rang knyttet förret er afskaffet.»</w:t>
        <w:br/>
        <w:br/>
        <w:t>Rätteligen förstådt bör i Sverige beslutet den 2 maj 1810, att frälse jord får besittas af hvem som helst, haft en liknande verkan.</w:t>
        <w:br/>
        <w:br/>
        <w:t>Så länge patronatsrätten gick i arf inom en viss adlig ätt och var förbunden med stora jordbesittningar inom vederbörande församling, kunde, fastän det länsherrliga förmynderskap, som rättigheten innebär, ej längre stod i öfverensstämmelse med tidsförhållandena, man lättare fördraga dess bestånd och utöfvande. För densamma vägde dock gammal häfd samt minnen af en längre tids samarbete för ortens bästa under en följd af släkten. Så är dock numera icke händelsen, och hvad som en gång kanske var berättigad vård kännes, sedan folket vuxit till medvetet människovärde och förmåga att själf handhafva sina angelägenheter, numera allenast tryckande och förödmjukande.</w:t>
        <w:br/>
        <w:br/>
        <w:t>Ifrån hvilken synpunkt man än ser saken, så måste man väl ändå nödgas erkänna, att det icke är att höja kyrkan och dess anseende, att tillsättningen af det statskyrkliga prästämbetet skall vara en handelsvara och kunna köpas med en viss egendom eller ett jordstycke, i följd med andra inventarier och</w:t>
        <w:br/>
        <w:br/>
        <w:t>kreatur, och utöfvas af köparen, vare sig han är därtill skicklig Interpella-</w:t>
        <w:br/>
        <w:br/>
        <w:t>eller icke, ty det finnes inga föreskrifter eller anstalter till före- = tion. kommande däraf, att rättigheten öfvergår till ovärdig person — (Forts. eller som skett — utöfvas af främmande trosbekännare, eller</w:t>
        <w:br/>
        <w:br/>
        <w:t>Det ligger i sakens natur att förslag och yrkanden om inskränkning eller upphäfvande af denna »sekelgamla orättvisa» icke kunnat uteblifva, och sträcka sig dessa förslag och yrkanden tillbaka under snart, som ofvan sagts, ett hundra år. Så föreslog 1828 års kyrkolagskommitté, att domkapitlet, sedan anslag till ledighet af prästerlig befattning i patronellt pastorat skett, skulle låta sig föredragas inkomna ansökningar och därefter tillkännagifva för patronus, hvilka som funnits kompetenta till den lediga befattningen, hvarefter patronus ibland de sålunda af domkapitlet anmälda finge utvälja en. Vid 1828—1830 års riksdag väcktes å riddarhuset motion om tillsättningsrättens utöfvande i patronella pastorat alternativt af patronus och församlingen. Inom prästeståndet väcktes vid 1844—1845 års riksdag motion, att patronatsrätten, där den öfvergått till säteriägare, ej tillhörande adeln, måtte antingen upphäfvas eller inskränkas till val inom ett i laga ordning upprättadt förslag. Vid 1847—1848 års riksdag väcktes inom adeln motion, att de lagrum, författningar och privilegier, som medgåfvo enskild person rättighet att bortgifva pastorat, måtte upphäfvas. Vid 1850—1851 års riksdag väcktes inom bondeståndet fråga, att alla jura patronatus måtte för evärdeliga tider upphöra. Vid riksdagen 1853—1854 återkom frågan i anledning af motion, väckt inom bondeståndet, om patronatsrättens upphäfvande. Vid 1856—1858 års riksdag väcktes motion i prästerståndet om att patronus skulle i viss angifven form underställa vederbörande församlings godkännande den kallade prästmannen.</w:t>
        <w:br/>
        <w:br/>
        <w:t>Vid 1870 års riksdag väcktes inom Andra Kammaren motion, att Riksdagen hos Kungl. Maj:t skulle anhålla om utredning i syfte af patronatsrättens afskaffande. Redan därförut hade 1868 års kyrkomöte i underdånig skrifvelse frambållit, att en förändring beträffande de patronella gällen vore i hög grad önsklig och behöflig. Frågan synes sedan hafva hvilat, till dess densamma upptogs genom en vid 1891 års riksdag inom Andra Kammaren väckt motion, som afsåg en noggrannare kontroll öfver patronatsrättens behöriga utöfvande genom åläggande för patronerna att till vederbörande pastorsexpeditioner aflämna styrkta afskrifter af patronbref och att behörigen redovisa för kyrkomedel, m. m. Vid 1892 års lagtima riksdag väcktes i Andra Kammaren motion att Riksdagen ville besluta, att 19 kap. 12, 13, 14, 15 och 16 $$ i kyrkolagen med alla dithörande författningar, bland andra $ 7 i adliga privilegierna af år 1723, skulle upphöra att gälla.</w:t>
        <w:br/>
        <w:br/>
        <w:t>Därefter förekom frågan om upphäfvande af patronatsrättigheterna, särskildt den lukrativa delen däraf, i samband med frågan om kyrkotiondens afskrifning, men föranledde ingen åtgärd — utan kvarstår allt framgent kyrkotionden i de patronella lukrativa gällen, där den utgöres in natura, ehuru denna tionde afskrefs enligt kungl. förordning af den 14 oktober 1898 för alla icke patronella gäll. HSlutligen ha motioner i samma ämne väckts af mig vid 1902 och 1903 års riksdagar, med yrkande om skrifvelse till Kungl. Maj:t med anhållan, det täcktes Kungl. Maj:t låta utarbeta och för Riksdagen framlägga förslag till lag, hvarigenom patronatsrätten förklarades upphäfd, m. m.</w:t>
        <w:br/>
        <w:br/>
        <w:t>Lagutskottet, som hade den senaste af dessa motioner till behandling, yttrade i sitt betänkande härom den 23 februari 1903 med att hänvisa till att frågan redan varit före i regeringen och anförde, i anledning däraf, följande: »Frågan om upphörande af patronatsrätten är alltså i hela sin vidd föremål för Kungl. Maj:ts behandling. Förberedande åtgärder i sådaut syfte hafva redan blifvit af Kungl. Maj:t vidtagna och lagförslag i ämnet torde vara att emotse inom en icke aflägsen framtid&gt;.</w:t>
        <w:br/>
        <w:br/>
        <w:t>På grund häraf ansåg utskottet icke någon anledning »att i nämnda fråga nu göra någon framställning hos Kungl. Maj:t&gt;, hvilket äfven blef Riksdagens beslut.</w:t>
        <w:br/>
        <w:br/>
        <w:t>Detta var sista gången som denna fråga hittills förevarit inom Riksdagen. Som lagutskottet omnämnde, hade frågan redan då förevarit hos Kungl. Maj:t och därigenom, så att säga, lyftats till ett högre plan och närmat sig sin lösning.</w:t>
        <w:br/>
        <w:br/>
        <w:t>Den 19 december 1902 föredrog den dåvarande ecklesiastikministern statsrådet von Friesen ärendet inför Konungen i statsrådet, hvarvid han efter en längre ingående motivering, med påvisande om det olämpliga uti att längre låta dessa otidsenliga och föråldrade privilegier kvarstå — föreslog 1 första rummet, att den del af patronatsrätten, som utgöres af kallelserätten, äfven hvad denna berör organist, klockare och kyrkobetjäning, i mån af nuvarande patroners afgång, eller beträffande bolag, genast må upphöra. Vidare ansåg han att, därest proposition i sådant hänseende aflåtes till Riksdagen, densamma bör byggas på hufvudsakligen följande grunder:</w:t>
        <w:br/>
        <w:br/>
        <w:t xml:space="preserve">från Skaftö annexförsamling, så länge patronatsrätten till </w:t>
      </w:r>
      <w:r>
        <w:rPr>
          <w:b/>
        </w:rPr>
        <w:t>Mor²</w:t>
      </w:r>
      <w:r>
        <w:rPr>
          <w:b w:val="0"/>
        </w:rPr>
        <w:t>-</w:t>
        <w:br/>
        <w:br/>
        <w:t>Då emellertid hufvudfrågan eller frågan om kallelserättens upphörande, såsom nämndt, ankommer på justitiedepartementets föredragning, och hvad som under 1:o och 2:o förmälts är beroende af denna hufvudfrågas behandling, tillåter jag mig för närvarande, efter samråd med statsrådet och chefen för justitiedepartementet, allenast hemställa,</w:t>
        <w:br/>
        <w:br/>
        <w:t>och behagade Hans Maj:t Konungen därtill i nåder lämna bifall.»</w:t>
        <w:br/>
        <w:br/>
        <w:t>Slutligen har denna fråga förekommit uti det betänkande, som den 9 november 1907 afgafs af därtill utsedde kommitterade för afgifvande af förslag till ändrade bestämmelser angående tillsättning af prästerliga tjänster, hvari å sid. 162 finnes följande uttalande rörande den här föreliggande frågan:</w:t>
        <w:br/>
        <w:br/>
        <w:t>»Hvad de prästerliga tjänster angår, vid hvilka särskilda befogenheter tillagts enskilda, innehåller 8 44 i prästvalslagen, att</w:t>
        <w:br/>
        <w:br/>
        <w:t>präst 'är' enskild person försäkrad, skall gälla hvad därom är eller blifver af Konungen stadgadt. Härmed afses närmast de prästerliga tjänster, som äro under patronatsrätt, men inbegripas under berörda stadgande äfven sådana fall, då enskild person vid tillsättning af prästerlig tjänst innehar viss rätt eller förmån utan att denna är att till patronatsrätt hänföra.</w:t>
        <w:br/>
        <w:br/>
        <w:t>Väl synes det vara af största vikt att, där enskild person har särskild rätt eller förmån vid tillsättning af prästerlig tjänst, denna måtte så fort ske kan upphöra. Då emellertid på sätt framgår af protokollet öfver ecklesiastikärenden, hållet inför Kungl. Maj:t i statsrådet den 19 december 1902, frågan om upphäfvande af de med patronatsrätt förbundna kallelserätterna är på Kungl. Maj:ts pröfning beroende och i samband därmed frågan om upphäfvande af de rättigheter och förmåner enskilda i öfrigt kunna innehafva vid tillsättning af prästerliga tjänster lärer komma att upptagas till behandling, hafva kommitterade ej ansett sig i detta sammanhang böra föreslå någon ändring i 8 44 af prästvalslagen, i hvad den afser enskild person tillkommande rätt eller förmån vid tillsättning af prästerlig tjänst.»</w:t>
        <w:br/>
        <w:br/>
        <w:t>Som häraf framgår, har denna, för många församlingar och för hela kyrkan så viktiga fråga, alltsedan år 1902 innelegat hos justitieministeriet utan att någonting vidare därom afhörts. Då nu i höst kyrkomötet sammanträder vore det af stor vikt att detta ärende, som väl hörer dit, kunde hinna dit inkomma — ty i annat fall får frågan hvila i ytterligare fem år, eller till nästa kyrkomöte sammanträder — samt då, som ofvan nämnts, det vore af särdeles vikt att personer i patronella gäll blefve likställda med dem inom icke patronella sådana, såväl i rättighet att kalla präst, som äfven i utgörande af kyrkotionde, samt slutligen då frågan om prästlönereglering och hvad därtill hörer nu ligger på Riksdagens bord till afgörande och det skulle vara önskligt att på samma gång få afgöra frågan jämväl angående patronatsrätten, så tyckes mig somm jag har haft alla skäl för att återigen bringa frågan på tal inom Riksdagen, i afsikt att befordra dess snara lösning, och får jag därför, herr talman, anhålla om kammarens benägna tillstånd att till statsrådet och chefen för justitiedepartementet framställa följande spörsmål:</w:t>
        <w:br/>
        <w:br/>
        <w:t>2:0). Ar det herr statsrådets afsikt att förelägga denna fråga för Riksdagen, så att den eventuellt kan hinna före vid årets kyrkomöte?</w:t>
      </w:r>
    </w:p>
    <w:p>
      <w:pPr>
        <w:pStyle w:val="Heading2"/>
      </w:pPr>
      <w:r>
        <w:t>2. Hugo Hammarskjöld (Första kammarens moderata parti, man)</w:t>
      </w:r>
    </w:p>
    <w:p>
      <w:r>
        <w:rPr>
          <w:b w:val="0"/>
        </w:rPr>
        <w:t>Herr talman, mina herrar! När frågan om reglering af elementarläroverken år 1904 var före, yttrade dåvarande chefen för ecklesiastikdepartementet statsrådet von Friesen, sedan Riksdagen gått med på förslaget om själfva omregleringen af läroverken: »Ja, nu ha herrarne gifvit mig fartyget, gif mig också besättningen!» Med besättningen menade han då naturligtvis öfverstyrelsen för rikets allmänna läroverk. Han fick hvad han begärde, men tyvärr hade han räknat med för liten besättning, och det var ju icke så underligt, att han då icke kunde beräkna, hvilka arbetskrafter som kunde behöfvas inom denna öfverstyrelse; man hade ju icke alls någon erfarenhet i den vägen.</w:t>
        <w:br/>
        <w:br/>
        <w:t>Men den omständigheten, att man då begärde och fick för litet arbetskrafter i öfverstyrelsen för rikets allmänna läroverk har sedan kommit surt efter och varit till synnerligen stort förfång. Under de få år, som gått, sedan öfverstyrelsen började sin verksamhet, har det varit en oafbruten känsla af att arbetet där varit för stort i förhållande till krafterna. Riksdagen har ju sökt tillmötesgå öfverstyrelsens kraf i det afseendet genom att bevilja två ordinarie tjänster till biträde åt läroverksråden. Men detta har varit alldeles för litet.</w:t>
        <w:br/>
        <w:br/>
        <w:t>Nu har öfverstyrelsen begärt och Kungl. Maj:t på grund däraf gjort framställning om att öfverstyrelsen måtte erhålla en registrator, som tillika skulle vara aktuarie, samt en ordinarie amanuens förutom den, som redan finnes. Statsutskottet har tillstyrkt förslaget i fråga om registratorn, men strukit amanuensen.</w:t>
        <w:br/>
        <w:br/>
        <w:t xml:space="preserve">Såsom skäl härför har utskottet anfört, att »den starka stegring i antal, som de på öfverstyrelsens handläggning beroende ärendena hittills utvisat, icke torde komma att, sedan öfvergångsåren passerats, allt framgent göra sig i samma grad gällande». Jag tror, att det är ett fullkomligt misstag, då man föreställer sig, att dessa ärendens antal kommer att minskas. Statsutskottet har fästat sig vid, att under förlidet år tillsattes en mängd nya lärarebefattningar, hvilket vållade en tillfällig stark ökning af arbetet inom öfverstyrelsen. Ja, det är sant, att det icke härefter torde komma att årligen bli en dylik masstillsättning af lärare, men däremot torde det komma att bli en fortsatt ökning af arbetet på många andra båll. Jag vill endast påminna därom, huruledes frågan om de euskilda läroverken och </w:t>
      </w:r>
      <w:r>
        <w:rPr>
          <w:b/>
        </w:rPr>
        <w:t>flickskolorna²</w:t>
      </w:r>
      <w:r>
        <w:rPr>
          <w:b w:val="0"/>
        </w:rPr>
        <w:t xml:space="preserve"> kommer att för öfverstyrelsen medföra en ytterligare arbetsökning. Jag hoppas att inom kort tid -— det har redan dröjt alltför länge — få för Riksdagen framlägga förslag till nya bestämmelser rörande dylika läroverk, och ett antagande af det försla-</w:t>
        <w:br/>
        <w:br/>
        <w:t>get kommer ovillkorligen att medföra ett ökadt arbete för öfverstyrelsen.</w:t>
        <w:br/>
        <w:br/>
        <w:t>Hvad de skäl beträffar, som utskottet här framhållit, att öfverstyrelsen ju kunde skrifva kortare utlåtanden och i öfrigt göra det hela enklare samt icke upptaga alla möjliga småmål till pröfning, utan låta dem afgöras af vederbörande rektorer, vill jag nämna, att allt detta iakttages redan inom öfverstyrelsen. Om den i början möjligen felat i det hänseendet, har den sannerligen funnit, att arbetet varit så stort, att den måst försöka skaffa sig lindring på alla möjliga sätt. Jag kan själf intyga, att de utlåtanden, som komma från öfverstyrelsen, alltid äro sakrika, men de äro mycket ofta affattade i en så kort form, att det kanske endast står ordet »tillstyrkes», och kortare lär man väl ej kunna skrifva. Hvad småärendena angår, har det alltmera öfverlämnats åt rektorerna vid läroverkan att själfva afgöra allt sådant, som kan läggas på dem och icke nödvändigt behöfver gå till öfverstyrelsen.</w:t>
        <w:br/>
        <w:br/>
        <w:t>Jag vill erinra kammaren om ytterligare en sak. Den amanuens, som Kungl. Maj:t här begär, måste finnas, och han finnes också redan, men såsom extra ordinarie, med en usel aflöning. Man kan icke låta arbetet ligga nere, utan måste naturligtvis skaffa tillräckligt med folk för detsamma. När emellertid Kungl. Maj:t icke förfogar öfver något särskildt anslag för denna persons aflönande, måste man söka hjälpa sig så godt man kan, men aflöningen blir då den allra uslaste. Vill Riksdagen tillåta, att Kungl. Maj:t får använda besparingarna på reservationsanslaget till läroverken för att aflöna de biträden hos öfverstyrelsen, som Kungl. Maj:t och överstyrelsen finna vara absolut nödvändiga, då skall jag icke hålla på att detta anslag beviljas. Men jag anser, att det är bättre, att Riksdagen i detta fall beviljar anslag å stat, då det ju gäller ett behof, som är ständigt, aldrig upphörande.</w:t>
        <w:br/>
        <w:br/>
        <w:t>Jag har redan sagt, att jag anser, att öfverstyrelsens arbetsbörda icke kommer att minskas, och jag ber att ytterligare få understryka, att min öfvertygelse är, att densamma kommer att ökas i mycket stor grad och att kammaren därför icke kan vänta sig, att de arbetskrafter, som Kungl. Maj:t nu begärt för öfverstyrelsens räkning, komma att blifva tillräckliga för en lång tid framåt; jag är öfvertygad om att man ganska snart måste vidtaga kraftiga åtgärder för att bereda öfverstyrelsen ökad arbetskraft. Jag kan intyga, att det arbete, som utföres af öfverstyrelsen — förutom det, att det är ett mycket godt arbete — verkligen är så intensivt och till den grad tager öfverdirektören och läroverksråden i anspråk, att det öfverstiger måttet af deras krafter. Helt nyligen måste ett af läroverksråden erhålla ett par månaders tjänstledighet, därför att han var fullkomligt utarbetad. Om herrarne verkligen vilja, att öfverstyrelsen skall kunna fylla sin uppgift att vara en duglig öfverstyrelse öfver rikets läroverk, då måste också Riksdagen bevilja därtill nödiga medel.</w:t>
        <w:br/>
        <w:br/>
        <w:t>Jag hemställer, om icke kammaren, med frångående af utskottets här gjorda afprutning, ville bifalla Kungl. Maj:ts proposition oförändrad.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1070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