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1074</w:t>
      </w:r>
    </w:p>
    <w:p>
      <w:r>
        <w:rPr>
          <w:b/>
        </w:rPr>
        <w:t xml:space="preserve">Datum: </w:t>
      </w:r>
      <w:r>
        <w:t>1908-03-26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Adolf Christiernson (–, man)</w:t>
      </w:r>
    </w:p>
    <w:p>
      <w:r>
        <w:rPr>
          <w:b w:val="0"/>
        </w:rPr>
        <w:t>Herr talman, mina herrar! Det var med verklig rörelse, som jag hörde herr statsrådet och chefen för eklesiastikdepartementet i början af sitt senare anförande tala för anslaget i fråga, men jag blef helt nykter, när hans röst plötsligt vid nämnandet af helsingborgsbänken fick den gamla sarkastiska klang, som kammaren så väl känner till, med en tillsats därjämte, såsom jag tyckte, af förakt, hvilket jag väl har rättighet att tyda det till med tanke på hans sedermera framkomna yttrande, att mitt anförande skulle varit osvenskt. Jag ber då att här få säga, att mina känslor såsom svensk äro lika äkta som herr ecklesiastikministerns, och man har icke rättighet att slunga ett sådant påstående i ansiktet på en af kammarens ledamöter.</w:t>
        <w:br/>
        <w:br/>
        <w:t xml:space="preserve">Det har sagts här, att ett afslag på denna fråga skulle vara ett slag i ansiktet på våra utomlandssvenskar. Men vi skola tänka på, att det icke så mycket är dessa, som saken rör, utan fastmer deras i regeln af utländska </w:t>
      </w:r>
      <w:r>
        <w:rPr>
          <w:b/>
        </w:rPr>
        <w:t>mödrar²</w:t>
      </w:r>
      <w:r>
        <w:rPr>
          <w:b w:val="0"/>
        </w:rPr>
        <w:t xml:space="preserve"> födda barn. Jag tillåter mig att i detta sammanhang särskildt för herr chefen för ecklesiastikdepartementet citera ett bibelspråk, som säger, att man skall öfvergifva fader och </w:t>
      </w:r>
      <w:r>
        <w:rPr>
          <w:b/>
        </w:rPr>
        <w:t>moder²</w:t>
      </w:r>
      <w:r>
        <w:rPr>
          <w:b w:val="0"/>
        </w:rPr>
        <w:t xml:space="preserve"> och blifva när sin </w:t>
      </w:r>
      <w:r>
        <w:rPr>
          <w:b/>
        </w:rPr>
        <w:t>hustru²</w:t>
      </w:r>
      <w:r>
        <w:rPr>
          <w:b w:val="0"/>
        </w:rPr>
        <w:t xml:space="preserve">. Jag undrar om icke detta bibelspråk kan sägas här hafva sin stora betydelse. Om dessa svenskar, gifta med utländska </w:t>
      </w:r>
      <w:r>
        <w:rPr>
          <w:b/>
        </w:rPr>
        <w:t>kvinnor¹</w:t>
      </w:r>
      <w:r>
        <w:rPr>
          <w:b w:val="0"/>
        </w:rPr>
        <w:t xml:space="preserve">, har jag den uppfattningen, att det, med eller mot deras vilja och oafsedt hvad vi tänka och önska, med dem blir så, att de blifva när sina </w:t>
      </w:r>
      <w:r>
        <w:rPr>
          <w:b/>
        </w:rPr>
        <w:t>hustrur²</w:t>
      </w:r>
      <w:r>
        <w:rPr>
          <w:b w:val="0"/>
        </w:rPr>
        <w:t xml:space="preserve"> och att deras barn icke blifva några svenskar. Detta beklagade jag i mitt förra anförande, och jag gör så fortfarande; men vi kunna icke göra någonting åt saken.</w:t>
        <w:br/>
        <w:br/>
        <w:t>Jag har här alls icke påstått mig hafva någon grundlig kännedom om svenskarnes förhållanden i Berlin. Men då herr statsrådet talade om sina känslor, när han åhörde en lektion i denna svenska skola i Berlin, så ansåg jag mig hafva rättighet att tala om hvad jag hört af svenskar därutifrån, och jag trodde icke, att jag skulle därför behöfva blifva utsatt för åtlöje från ministerbänken. Jag är som sagdt långt ifrån någon kännare af Berlin, men så mycket har jag af där vistande svenskar hört sägas, som att därvarande svenska skola icke leder till några praktiska resultat. Och hvad för slags sådane personer jag än kommit i sällskap med, så var det ingen, som icke sade, att icke bevarar man svenskheten i utlandet t. ex. därigenom, att i svenska föredrag göras utfall mot den svenska socialdemokratiska rörelsen.</w:t>
        <w:br/>
        <w:br/>
        <w:t>Jag vill till slut bedja alla dem, som arbeta för svenskhetens bevarande i utlandet och särskildt i Berlin, tänka på, att med den exklusiva indelning i öfveroch underklass som finnes hos där-</w:t>
        <w:br/>
        <w:br/>
        <w:t>varande svenskar, gagnar man icke svenskheten. Den därstädes befintliga svenska klubbens medlemmar betrakta i regeln medlemmar af därvarande svenska förening — d. v. s. handtverkare och dylika personer, som det här gäller att rädda åt Sverige — såsom kanske mindervärdiga människor. Och när svenskar i utlandet uppdela sig i två kretsar, å ena sidan arbetare, fattiga svenskar, och å den andra öfverklassare, förmögna svenskar, då skall man icke, om vi nu icke bevilja det begärda anslaget, förebrå oss, att vi äro ofosterländska och icke taga vara på våra svenskar utomlands. Därför vill jag, till den kraft och verkan det hafva kan, till våra förmögna svenskar i utlandet rikta en uppmaning att i första hand vara svenskar och i andra rummet öfverklassare.</w:t>
      </w:r>
    </w:p>
    <w:p>
      <w:pPr>
        <w:pStyle w:val="Heading2"/>
      </w:pPr>
      <w:r>
        <w:t>2. Carl Persson (Lantmanna- och borgarepartiet inom andrakammaren, man)</w:t>
      </w:r>
    </w:p>
    <w:p>
      <w:r>
        <w:rPr>
          <w:b w:val="0"/>
        </w:rPr>
        <w:t>Herr talman! När denna fråga behandlades i utskottet, visste vi icke, att det var en så stor fråga. som den, efter hvad här i kammaren upplysts, lärer vara.</w:t>
        <w:br/>
        <w:br/>
        <w:t>Men jag kan meddela, att om jag också hade vetat det, jag likväl icke skulle hafva ställt mig som reservant mot utskottets beslut.</w:t>
        <w:br/>
        <w:br/>
        <w:t xml:space="preserve">Det har sagts, att, jag icke användt riktiga siffror. Ja det erkänner jag måhända vara riktigt. Men jag skall be att till förtydligande få angifva, huru jag kommit till dessa siffror. I den kungl. propositionen står det, att denna skola icke är mer än ett år gammal och att koloniens barn uppginge till ett antal af öfver 100 samt att omkring hälften af dessa barn vore i skolåldern, äfvensom att af dessa 25—380 gått i den af kyrkorådet anordnade svenska eftermiddagsskolan. När nu förut står, att en stor del af dessa barn och särskildt de, som hade tyskfödd </w:t>
      </w:r>
      <w:r>
        <w:rPr>
          <w:b/>
        </w:rPr>
        <w:t>mor²</w:t>
      </w:r>
      <w:r>
        <w:rPr>
          <w:b w:val="0"/>
        </w:rPr>
        <w:t xml:space="preserve">, vore mer tyska än svenska, födda och uppfostrade i främmande land, drog jag den slutsatsen däraf, att åtskilliga af dessa barn vore tyskfödda och hade en tyska till </w:t>
      </w:r>
      <w:r>
        <w:rPr>
          <w:b/>
        </w:rPr>
        <w:t>mor²</w:t>
      </w:r>
      <w:r>
        <w:rPr>
          <w:b w:val="0"/>
        </w:rPr>
        <w:t>, och då är det klart att jag kunde reducera antalet från 25 — 30 ned till 15—20.</w:t>
        <w:br/>
        <w:br/>
        <w:t>Hvilken siffra, som är den riktiga, det vet jag icke, och det är kanske flere än jag, som sväfva i okunnighet därom.</w:t>
        <w:br/>
        <w:br/>
        <w:t xml:space="preserve">I de båda anförandena från statsrådsbänken har nu denna undervisning berömts ofantligt. Ja, är denna undervisning så förträfflig, är det väl lätt att öfverföra densamma till våra skolor i Sverige med deras tusentals skollärare. Men jag undrar, om statsrådsprotokollet verkligen bär vittne om att denna undervisning är sådan, att vi här 1 våra skolor kunna vara tillfredsställda därmed. »Undervisning hade meddelats i svenska språket, svensk historia och kultur samt Sveriges geografi. Denna undervisning kunde icke hvarken till metod eller mål jämföras med vanlig folkskoleundervisning. Enär barnen ginge i tysk skola, där arbetet drefves intensivt, skulle de icke utan öfveransträngning kunna deltaga i ytterligare flere timmars vanlig skolgång per vecka. Därför hade den svenska undervisningen anlagts så, att barnen genom att höra </w:t>
      </w:r>
      <w:r>
        <w:rPr>
          <w:b/>
        </w:rPr>
        <w:t>lärarinnan³</w:t>
      </w:r>
      <w:r>
        <w:rPr>
          <w:b w:val="0"/>
        </w:rPr>
        <w:t xml:space="preserve"> berätta åskådligt och liffullt samt under lekars form inhämtat kunskap och intryck. Den erfarenhet, som gjorts, att det språk, barnen fortast lärde sig</w:t>
        <w:br/>
        <w:br/>
        <w:t>Lördagen den 26 Mars, e. m. 13 och helst använde, vore lekspråket — det, som de använde i sina lekar — hade rikligen tillgodogjorts.»</w:t>
        <w:br/>
        <w:br/>
        <w:t>Det är hela undervisningen. Att nu denna undervisning är så förträfflig, att hvarje person, som gör ett besök i Berlin, däraf blir öfvertygad om att man verkligen bör anslå 1600 kronor därtill — och jag räknar nu 25 barn — förvånar mig verkligen.</w:t>
        <w:br/>
        <w:br/>
        <w:t>Skulle man nu anslå så mycket som 1600 kronor för att 25—30 barn skola få lära sig leka väl på svenskt sätt, men sedan icke lämna högre anslag än 800 kronor för undervisning af omkring 100 barn i ett fattigt folkskoledistrikt, så undrar jag, om detta vore riktigt handladt och väl betänkt.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