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1088</w:t>
      </w:r>
    </w:p>
    <w:p>
      <w:r>
        <w:rPr>
          <w:b/>
        </w:rPr>
        <w:t xml:space="preserve">Datum: </w:t>
      </w:r>
      <w:r>
        <w:t>1908-05-16</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Magnus Matsson (Liberala samlingspartiet, man)</w:t>
      </w:r>
    </w:p>
    <w:p>
      <w:r>
        <w:rPr>
          <w:b w:val="0"/>
        </w:rPr>
        <w:t>Riksdagen skref den 5 maj 1888 i underdånighet till Kungl. Maj:t: &gt;»Då Eders Kungl. Maj:t för mera än trettio är sedan låtit utfärda reglemente för barnmorskor, har redan därigenom blifvit erkändt, att ett ändamålsenligt ordnande af barnmorskeväsendet är en angelägenhet, som åligger staten.»</w:t>
        <w:br/>
        <w:br/>
        <w:t>Det betyder väl ändå någonting, när Kiksdagen på detta sätt i skrifvelse till Kungl. Maj:t uttalar, att barnmorskeväsendets ordnande är en statsangelägenhet. Det går väl ej gärna an, att Riksdagen sedermera utan angifvande af nya motiv gör ett motsatt uttalande och säger, att barnmorskeväsendet är en kommunal angelägenhet.</w:t>
        <w:br/>
        <w:br/>
        <w:t xml:space="preserve">I sitt förevarande utlåtande yttrar utskottet på sid. 20, att beredandet af tillgång på examinerad </w:t>
      </w:r>
      <w:r>
        <w:rPr>
          <w:b/>
        </w:rPr>
        <w:t>barnmorska³</w:t>
      </w:r>
      <w:r>
        <w:rPr>
          <w:b w:val="0"/>
        </w:rPr>
        <w:t xml:space="preserve"> är »en statsangelägenhet af synnerlig vikt&gt;. Man torde då vid barnmorskefrågans bedömande böra utgå ifrån, att barnmorskeväsendet är en statsangelägenhet. Att så är har jämväl inpräntats i den allmänna uppfattningen därigenom, att staten tagit sig så att säga husbondeväldet öfver barnmorskorna, i det att staten utfärdat reglementen för dem samt inkorporerat dem under medicinalstyrelsen, förste provinsialläkaren, provinsialläkaren och stadsläkaren. Den rätt, som staten sålunda tagit sig, borde också för staten medföra motsvarande skyldighet med afseende på barnmorskornas aflöning. Ty det är väl icke öfverensstämmande med billighet och rättvisa, att staten ålägger kommunerna att anställa examinerade barnmorskor och att till dessa utbetala af staten stipulerad minimilön, utan att staten i sammanhang härmed på minsta sätt bidrager till aflöningen. Atminstone har staten icke velat frigöra sig från denna konsekvens af sitt husbondevälde på sådana områden som sjukvård och folkundervisning. Folkundervisningen var liksom barnmorskeväsendet ursprungligen en enskild eller kommunal angelägenhet, men, så snart som folkundervisningen blef obligatorisk, åtog sig staten en del af kostnaderna för densamma. Så anser jag böra ske jämväl i afseende på barnmorskeväsendet; åtminstone bör man gifva Kungl. Maj:t anledning att taga denna fråga under öfvervägande.</w:t>
        <w:br/>
        <w:br/>
        <w:t>Då bland andra herr Carl Persson under aftonen uttalat sympatier för denna mening, och då det afgifvits talrika instämmanden med honom, så finner jag, att det finns utsikter för att denna mening kan blifva segrande i kammaren, och detta så mycket mer som jag af hvad herr Zetterstrand, nyss upplyst erfor, att utskottets afståndstagande från motionen i denna punkt icke är grundadt på</w:t>
        <w:br/>
        <w:br/>
        <w:t>någon saklig behandling af frågan. Därför, herr talman, tillåter jag mig att yrka bifall till den af herr Hammarlund vid punkten fogade reservationen.</w:t>
      </w:r>
    </w:p>
    <w:p>
      <w:pPr>
        <w:pStyle w:val="Heading2"/>
      </w:pPr>
      <w:r>
        <w:t>2. Emil Hammarlund (–, man)</w:t>
      </w:r>
    </w:p>
    <w:p>
      <w:r>
        <w:rPr>
          <w:b w:val="0"/>
        </w:rPr>
        <w:t>Utskottet säger, att åtminstone under nuvarande förhållanden bör barnmorskornas aflöning vara en uteslutande kommunal angelägenhet och att det icke kan biträda motionen i denna del. Herr Zetterstrand anförde nyss, att utskottet härvidlag stödt sig på det af Riksdagen vid 1904 års riksdag fattade beslutet, då en dylik fråga förelåg och blef afslagen af båda kamrarne. Men mina herrar, från och med i dag kan man väl säga, att frågan inträdt i ett annat skede. I dag har Första Kammaren godkänt utskottets förslag oförändradt, och Andra Kammaren med en liten ändring af den beskaffenhet, att frågan väl icke bör falla för den, och så blir det, efter sammanjämkning, en lag om anställande af barnmorskor, och denna lag säger, att kommunerna äro skyldiga att anställa barnmorskor. Då är frågan i ett annat läge än 1904, då en sådan skyldighet icke förelåg.</w:t>
        <w:br/>
        <w:br/>
        <w:t>Nu kan man göra jämförelse med folkskoleväsendet. Där är en obligatorisk skyldighet ålagd kommunerna, och kommunerna åtnjuta statsbidrag. Riksdagen har ålagt kommunerna att sörja för att det finnes barnmorskor, och då är det icke mer än i sin ordning att staten säger: vi vilja bidraga med visst belopp härtill — huru stort blir en annan fråga. Därom får en utredning lämna upplysning.</w:t>
        <w:br/>
        <w:br/>
        <w:t>Jag hemställer om bifall till reservationen i denna punkt.</w:t>
      </w:r>
    </w:p>
    <w:p>
      <w:pPr>
        <w:pStyle w:val="Heading2"/>
      </w:pPr>
      <w:r>
        <w:t>3. unknown (–, –)</w:t>
      </w:r>
    </w:p>
    <w:p>
      <w:r>
        <w:rPr>
          <w:b w:val="0"/>
        </w:rPr>
        <w:t xml:space="preserve">Jag har redan i ett föregående uttalande varit i tillfälle att beröra den fråga här föreligger och skall nu endast be att få säga, att den framställning, som göres om en skrifvelse till Kungl. Maj:t. synes mig vara sådan, att den väcker min synnerliga förundran. Vi erinra oss litet hvar, att det ju bara är en eller annan vecka sedan denna kammare på motion af herr Staaff m. fl. då godkände aflåtandet af en skrifvelse till Kungl. Maj:t, hvilken skrifvelse innebar anhållan om utredning rörande kommunernas ekonomiska bärkraft. Med denna utredning afsågs att för sådana kommuner, som voro mest betungade af kommunalskatter, bereda någon lindring, därigenom att det skulle göras möjligt för dem att erhålla statsbidrag. Då gick man, så vidt jag förstod, ut ifrån den riktiga förutsättningen, att man skulle helt och hållet bortse från, hvaruti utskylderna för kommunen bestode, utan hufvudsaken var den, att kommunalutskylderna sammanlagda tryckte så hårdt, att man kunde anse skattebördan oskälig i förhållande till kommunens skatteförmåga. Nu yrkar man på att kommunerna därjämte skola erhålla särskildt statsbidrag till aflöning af barnmorskorna. Naturligtvis kunna de icke stå väl tillsammans, dessa två saker, att först begära att kommunerna skola få statsbidrag på grund af att kommunalutskylderna i sin helhet äro allt för tryckande och sedan ofvanpå detta fordra ytterligare statsbidrag till aflönande af </w:t>
      </w:r>
      <w:r>
        <w:rPr>
          <w:b/>
        </w:rPr>
        <w:t>barnmorska³</w:t>
      </w:r>
      <w:r>
        <w:rPr>
          <w:b w:val="0"/>
        </w:rPr>
        <w:t>. Om man skall fortfara på det sättet, hvarthän kommer</w:t>
        <w:br/>
        <w:br/>
        <w:t>Lördagen den 16 Maj, ce. m. Dö man då? Nej, låt oss ställa denna fråga på en helt annan bog, nämligen densamma, som kammaren tycktes vilja gå på, då kammaren biföll herr Staaffs motion. Då var ju Andra Kammarens mening den, att man icke skulle taga någon hänsyn till om det var vägunderhållet eller folkskoleväsendet eller fattigvården som tryckte hårdast, utan i stället, om de sammanlagda kommunalskatterna kändes alltför tryckande, skulle de kommuner, som hade minsta skatteförmågan, sättas i tillfälle att få ett skäligt understöd. Sådan var meningen med den skrifvelsen, och då man så nyligen skrifvit och begärt en utredning i det syftet, kan man väl icke nu, så kort därefter, skrifva och begära ytterligare statsbidrag åt kommunerna för aflöning af deras barnmorskor.</w:t>
        <w:br/>
        <w:br/>
        <w:t>Emellertid har, såsom en hvar af kammarens ledamöter helt säkert känner till, det Första Kammarens tillfälliga utskott, som behandlat herr Staaffs motion, tillstyrkt motionen, på samma sätt som det tillfälliga utskottet här i kammaren gjorde. Detta Första Kammarens tillfälliga utskotts utlåtande har behandlats i aftonplenum i dag i Första Kammaren, hvarvid Första Kammaren återremitterat ärendet till utskottet. Sålunda reflekterar Första Kammaren med fullt allvar på att i någon form biträda Andra Kammarens beslut.</w:t>
        <w:br/>
        <w:br/>
        <w:t>Det har sagts mig, att diskussionen i Första Kammaren gått i den riktning, att man har anledning draga den slutsats af densamma, att Första Kammarens mening skulle vara att bifalla framställningen, men med någon inskränkning uti Andra Kammarens beslut, gående därpå ut, att man skulle i första rummet taga hänsyn till sådana kommunernas utgifter, med hvilka främjades ändamål, som mer eller mindre kunde anses som statsändamål.</w:t>
        <w:br/>
        <w:br/>
        <w:t>Nu synes det mig, som att alla skäl tala för ett afslag på det här framställda yrkandet om skrifvelse till Kungl. Maj:t, och jag kan för min del icke föreställa mig något annat än att kammaren kommer att afslå detsamma.</w:t>
        <w:br/>
        <w:br/>
        <w:t>Emellertid ber jag, herr talman, att på de skäl jag framställt få yrka bifall till utskottets hemställan.</w:t>
      </w:r>
    </w:p>
    <w:p>
      <w:pPr>
        <w:pStyle w:val="Heading2"/>
      </w:pPr>
      <w:r>
        <w:t>4. Emil Hammarlund (–, man)</w:t>
      </w:r>
    </w:p>
    <w:p>
      <w:r>
        <w:rPr>
          <w:b w:val="0"/>
        </w:rPr>
        <w:t>Herr vice talmannen har hänvisat till kammarens beslut med anledning af herr Staaffs motion, och därför att kammaren bifallit denna motion, skulle vi nu icke kunna antaga den föreliggande reservationen. Det är dock, såvidt jag kan förstå, två alldeles skilda saker, som det här är fråga om.</w:t>
        <w:br/>
        <w:br/>
        <w:t>Kammaren har i anslutning till herr Staaffs motion beslutit aflåta en skrifvelse till Kungl. Maj:t med anhållan, att Kungl. Maj:t så snart som möjligt måtte låta anställa en allsidig utredning rörande hvilka kommuner som äga en alltför ringa bärkraft i förhållande till dem åliggande skattebördor, samt därefter för Riksdagen framlägga det förslag, hvartill utredningen gifver anledning. Hvad afser detta understöd från statens sida? Jo ett särskildt understöd till vissa kommuner, nämligen de kommuner, som äro särskildt betungade, sålunda t. ex. de, som ha en kommunalskatt af en krona per fyrk eller något dylikt.</w:t>
        <w:br/>
        <w:br/>
        <w:t xml:space="preserve">I den föreliggande reservationen ifrågasättes däremot, att staten skulle lämna bidrag till aflöning åt barnmorskor på samma sätt som staten lämnar bidrag åt lärare och </w:t>
      </w:r>
      <w:r>
        <w:rPr>
          <w:b/>
        </w:rPr>
        <w:t>lärarinnor³</w:t>
      </w:r>
      <w:r>
        <w:rPr>
          <w:b w:val="0"/>
        </w:rPr>
        <w:t xml:space="preserve"> vid folkskolor och småskolor. Det är sålunda fråga om ett proportionellt bidrag till alla kommuner, då genom den lag, som nu blifvit antagen, alla kommuner skulle ha barnmorskor anställda. En konsekvens af det nu fattade beslutet synes mig vara, att när man bestämt, att det skall finnas en </w:t>
      </w:r>
      <w:r>
        <w:rPr>
          <w:b/>
        </w:rPr>
        <w:t>barnmorska³</w:t>
      </w:r>
      <w:r>
        <w:rPr>
          <w:b w:val="0"/>
        </w:rPr>
        <w:t xml:space="preserve"> i hvarje kommun, och Riksdagen härför fastställt en minimilön, staten bör bidraga till denna persons aflöning. Det hindrar naturligtvis icke, att staten dessutom ger extra bidrag till de kommuner, som äro särskildt betungade med utgifter. Men det är en fråga, som är alldeles fristående. Jag ber sålunda att få vidhålla mitt yrkande.</w:t>
        <w:br/>
        <w:br/>
        <w:t>hemställan bifallit den af herr Hammarlund vid punkten afgifna reservationen.</w:t>
        <w:br/>
        <w:br/>
        <w:t>dock att, där den ene kontrahenten är fondhandlare och aftalet afslutas icke för dennes egen räkning utan i kommission, afräkningsnotan skall förses</w:t>
        <w:br/>
        <w:br/>
        <w:t>dock att, där den ene kontrahenten är fondhandlare och aftalet afslutas icke för dennes egen räkning utan i kommission, afräkningsnotan skall förses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1088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