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1117</w:t>
      </w:r>
    </w:p>
    <w:p>
      <w:r>
        <w:rPr>
          <w:b/>
        </w:rPr>
        <w:t xml:space="preserve">Datum: </w:t>
      </w:r>
      <w:r>
        <w:t>1909-05-12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Fridtjuv Berg (–, man)</w:t>
      </w:r>
    </w:p>
    <w:p>
      <w:r>
        <w:rPr>
          <w:b w:val="0"/>
        </w:rPr>
        <w:t xml:space="preserve">Endast ett par ord. En talare, som försvarade utskottets förslag, framställde saken så, att om man vill, att det skall vara en god kristendomsundervisning, som meddelas i de här ifrågavarande skolorna, så måste man stadga befogenhet för eforalstyrelserna att öfva uppsikt däröfver. Då vill jag fråga: hvarför hafva icke de, som hysa denna åsikt, velat vara med om att stadga en dylik uppsikt äfven öfver de högre gossoch samskolorna och de enskilda lärarinneseminarierna? Det ha de icke gjort, utan dessa senare anstalter hafva tvärtom undantagits från eforernas uppsikt. Men äfven i de högre gossoch samskolorna samt de enskilda lärarinneseminarierna skall det väl vara en god kristendomsundervisning, ehuru medlemmarna af utskottets majoritet där icke vilja hafva någon inspektor utsedd af eforalstyrelsen. Detta måtte väl vara ett tydligt erkännande från deras sida, att de anse, att det äfven utan sådan uppsikt mycket väl kan bli en god kristendomsundervisning. i dessa skolor. När man å den ena sidan påstår, att eforaluppsikt är nödvändig för de högre </w:t>
      </w:r>
      <w:r>
        <w:rPr>
          <w:b/>
        </w:rPr>
        <w:t>flickskolorna²</w:t>
      </w:r>
      <w:r>
        <w:rPr>
          <w:b w:val="0"/>
        </w:rPr>
        <w:t>, de enskilda mellanskolorna och de kommunala mellanskolorna och sedan omedelbart därpå förklarar, att nämnda uppsikt dock icke är nödvändig för de högre gossoch samskolorna och de enskilda lärarinneseminarierna, har man vederlagt sig själf.</w:t>
        <w:br/>
        <w:br/>
        <w:t>Jag ber för min del att få instämma i det påpekande, som gjordes, att följden af ett bibehållande af de båda styckena i motiveringen måste blifva, att eforerna komma att tillsätta lokala inspektorer. Och då har man i full gång konflikten mellan, å ena sidan, dessa myndigheter och, å andra sidan, läroverksöfverstyrelsen. Jag frågar: kan det vara välbetänkt? Jag hemställer fortfarande om bifall till reservationen.</w:t>
      </w:r>
    </w:p>
    <w:p>
      <w:pPr>
        <w:pStyle w:val="Heading2"/>
      </w:pPr>
      <w:r>
        <w:t>2. Lars Johan Jansson (Lantmanna- och borgarepartiet inom andrakammaren, man)</w:t>
      </w:r>
    </w:p>
    <w:p>
      <w:r>
        <w:rPr>
          <w:b w:val="0"/>
        </w:rPr>
        <w:t xml:space="preserve">Herr talman! Då det gäller de högre </w:t>
      </w:r>
      <w:r>
        <w:rPr>
          <w:b/>
        </w:rPr>
        <w:t>flickskolorna²</w:t>
      </w:r>
      <w:r>
        <w:rPr>
          <w:b w:val="0"/>
        </w:rPr>
        <w:t xml:space="preserve"> och de högre gossoch </w:t>
      </w:r>
      <w:r>
        <w:rPr>
          <w:b/>
        </w:rPr>
        <w:t>flickskolorna²</w:t>
      </w:r>
      <w:r>
        <w:rPr>
          <w:b w:val="0"/>
        </w:rPr>
        <w:t>, hafva vi att komma ihåg, att i afseende å dessa icke funnits någon eforaluppsikt. Och att nu införa en sådan uppsikt, där den icke funnits — då Kungl. Maj:t icke heller talat ett ord om att införa den — tror jag icke vara något skäl till. Men då det gäller de kommunala mellan-</w:t>
        <w:br/>
        <w:br/>
        <w:t>Nu har utskottet ansett, att det icke fanns något talande skäl för att taga bort denna uppsikt, i synnerhet när densamma skulle inskränkas därhän, att eforus endast skulle hafva befogenhet att besöka skolan, åhöra undervisningen och att till öfverstyrelsen inberätta, om han därvid funne något att anmärka.</w:t>
        <w:br/>
        <w:br/>
        <w:t>Nu säger likväl den ärade talaren, herr Berg, att detta skulle kunna uppväcka konflikter och slitningar mellan de olika myndigheterna, d. v. s. mellan öfverstyrelsen och eforerna. Jag kan för min del icke fatta, hvilka konflikter och slitningar som däraf skulle kunna uppväckas, då det ju är öfverstyrelsen, som ensamt bestämmer och beslutar.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