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1126</w:t>
      </w:r>
    </w:p>
    <w:p>
      <w:r>
        <w:rPr>
          <w:b/>
        </w:rPr>
        <w:t xml:space="preserve">Datum: </w:t>
      </w:r>
      <w:r>
        <w:t>1910-03-04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Jakob Pettersson (Liberala riksdagspartiet, man)</w:t>
      </w:r>
    </w:p>
    <w:p>
      <w:r>
        <w:rPr>
          <w:b w:val="0"/>
        </w:rPr>
        <w:t>Herr talman, mina herrar! Jag har så mycket svårare att med verklig entusiasm försvara utskottet i den punkt, på hvilken herr Lindhagen nu gjort anmärkning, som jag verkligen i utskottet tyckte, att herr Lindhagen gärna hade kunnat få sin vilja fram, när han yrkade på gemensam behandling af båda ifrågavarande motioner. Ty visserligen är den hemställan, som göres i motionerna olika, i det att herr Hellberg riktar sig på ett yrkande om viss ändring i det exekutiva förfarandet, medan däremot herrar Lindhagen och Karlsson i Fjäl rikta sig på en utredning angående verkningarna af norrlandslagen, men å</w:t>
        <w:br/>
        <w:br/>
        <w:t xml:space="preserve">andra . sidan är det sant, att i bägge motionernas motivering åbero- Ang. förfapas delvis samma faktiska förhållanden. Jag tyckte därför, som dekor in sagdt, att herr Lindhagen gärna kunde ha fått sin vilja fram i detta </w:t>
      </w:r>
      <w:r>
        <w:rPr>
          <w:b/>
        </w:rPr>
        <w:t>Hon²</w:t>
      </w:r>
      <w:r>
        <w:rPr>
          <w:b w:val="0"/>
        </w:rPr>
        <w:t xml:space="preserve"> å fastig. fall, men jag får dock säga, att jag icke anser, att saken har den het på landet kolossala betydelse, som herr Lindhagen velat tillägga densamma. m. m. Ty hvad skulle herr Lindhagen eller herr Hellberg eller saken ha (Forts.) vunnit på, att herr Lindhagen fått sin vilja fram i detta afseende? Jo, resultatet hade blifvit det, att detta betänkande hade kommit att röra sig om ännu en motion; och så hade det möjligen i bästa fall i utskottets hemställan kommit att stå: »att Riksdagen ville med bifall till herrar Lindhagens och Karlssons i Fjäl motion samt i anledning af herr Hellbergs motion» ete. Icke ens om motionerna behandlats gemensamt, hade det kunnat blifva något tillstyrkande af herr Hellbergs motion, men utskottet hade möjligen kommit att i uttrycken ställa sig mindre afvisande till densamma. Motionären skulle möjligen ha erhållit en tröst öfver afstyrkandet, en karamell att suga på, såsom herr Lindhagen sade häromdagen, hvilket jag mycket gärna skulle ha unnat honom. Men någon saklig betydelse skulle ett sådant uttryckssätt icke hafva haft, såvidt jag kan se. Hvad nu beträffar yrkandet om återremiss, har jag för min del ej i och för sig något att invända emot det, men jag vill erinra herrarna om, att saken nu har behandlats och afgjorts af Första kammaren, så att verkan af en återremiss naturligtvis endast skulle bli, att utskottet anmodar denna kammare att fatta beslut i saken. Jag föreställer mig, att kammaren kan använda sin tid till nyttigare saker än att med detta resultat för ögonen besluta återremiss.</w:t>
      </w:r>
    </w:p>
    <w:p>
      <w:pPr>
        <w:pStyle w:val="Heading2"/>
      </w:pPr>
      <w:r>
        <w:t>2. Carl Lindhagen (Socialdemokraterna, man)</w:t>
      </w:r>
    </w:p>
    <w:p>
      <w:r>
        <w:rPr>
          <w:b w:val="0"/>
        </w:rPr>
        <w:t>Ja, jämförelsevis få saker bland de många, vi här behandla, äro af utomordentlig vikt, och det gäller äfven den här saken. Men det är viktigt i två afseenden i alla fall, att denna sak återremitteras till utskottet. För det första ger man nämligen utskottet därigenom en erinran om att minoriteten också har rätt att påkalla, att lika saker behandlas samtidigt och i hvarandras sammanhang, i det afseendet vinner man syftemålet genom en återremiss. För det andra är det ju, såsom herrarna veta, så, att en motions yrkande icke alltid precis bifalles; utan i de flesta fall, kan man säga, går utskottets hemställan ut på en modifikation. En sådan modifikation har t. ex. också måst göras i punkt 2 af min nu föreliggande reservation. Hvad innebär då det i denna punkt gjorda yrkandet? Jo, det innebär, att kamrarna redan nu skulle afgöra en del af det ämne, som kamrarna skola yttra sig om, när min och herr Karlssons i Fjäl motion kommer från utskottet. Bifaller kammaren punkt 2 i min reservation, har kammaren på förhand sagt, att den punkten godkänner den, och när saken i sin helhet sedan kommer tillbaka, är ju den delen af saken redan afgjord; vi behöfva ju ej besluta två gånger om bifall till samma sak. Afelår däremot kammaren punkt 2 i reservationen, har kammaren</w:t>
        <w:br/>
        <w:br/>
        <w:t>(Forts.) Detta är den situation, kammaren står inför, när den går att afslå eller bifalla punkt 2 i reservationen. Jag må säga, att jag aldrig här varit med om en sådan föredragningsordning, föranledd af ett utskotts hemställan.</w:t>
        <w:br/>
        <w:br/>
        <w:t>verk afskaffades eller, därest några af de med nämnda ämbete förenade funktioner ansåges böra bibehållas under särskildt ämbete, i allt fall biskops själfskrifna utöfvande häraf måtte upphöra.</w:t>
      </w:r>
    </w:p>
    <w:p>
      <w:pPr>
        <w:pStyle w:val="Heading2"/>
      </w:pPr>
      <w:r>
        <w:t>3. Jakob Pettersson (Liberala riksdagspartiet, man)</w:t>
      </w:r>
    </w:p>
    <w:p>
      <w:r>
        <w:rPr>
          <w:b w:val="0"/>
        </w:rPr>
        <w:t>Herr talman, mina herrar! I 24 kap. kyrkolagen heter det: »Biskoparne skola ock hafva uppsikt med (gymnasier och) skolor så ock ungdomens upptuktelse efter skolordningen, uti hvilken ingen må egenvilligt göra någon ändring. De skola ock se på lektorer och skolmästare, med hvad fit, åhåga och nytta de sina ämbeten förrätta, afskaffa dem, som äro därtill oskicklige och försumlige, och inga andra därtill befordra, än dem de för visso känna och veta vara ungdomen nyttige.»</w:t>
        <w:br/>
        <w:br/>
        <w:t>På grund af denna befogenhet, som ju var helt naturlig på den tiden, när läroverken voro en stiftsangelägenhet, ha helt visst biskopar och domkapitel utöfvat en mycket omfattande verksamhet till välsignelse för läroverken. Emellertid har denna verksamhet utöfvats vid sidan af biskoparnas egentliga lifsuppgift, vården om de kyrkliga angelägenheterna. I samma mån som nu detta biskoparnas egentliga arbetsfält tagit större delen af deras tid och krafter i anspråk, i samma mån har det blifvit svårt för dem att ägna sig åt vården om läroverken. På samma gång hafva dessa under tidernas lopp utvecklats från att vara en stiftsangelägenhet till att vara en statsangelägenhet. I samband med den utvecklingen har man alltmera känt behof af att få en fackmässig centralledning för läroverken. BSärskildt har det klagats öfver att domkapitlen med deras säregna arbetssätt ej lämnade möjlighet för att erhålla den planmässighet och den enhetlighet i organisationen, som vore önskvärd.</w:t>
        <w:br/>
        <w:br/>
        <w:t xml:space="preserve">På dessa skäl infördes 1904 i samband med den stora läroverksreformen ett särskildt fackmässigt centralorgan för de allmänna läroverken i öfverstyrelsen,. Denna öfverstyrelse skulle bland annat öfva tillsyn öfver de allmänna läroverken, </w:t>
      </w:r>
      <w:r>
        <w:rPr>
          <w:b/>
        </w:rPr>
        <w:t>flickskolor²</w:t>
      </w:r>
      <w:r>
        <w:rPr>
          <w:b w:val="0"/>
        </w:rPr>
        <w:t xml:space="preserve"> och med dem likställda läroverk, afgifva yttrande öfver sökande till ämneslärarebefattningar, tillsätta extralärare och vikarier samt taga initiativ till erforderliga reformer.</w:t>
        <w:br/>
        <w:br/>
        <w:t>Emellertid mötte, som vi minnas, förslaget om införande af en öfverstyrelse för läroverken åtskilliga betänkligheter, särskildt från biskopligt håll. För att bryta udden af detta motstånd och väl älven därför, att man ej visste, hur öfverstyrelsen skulle komma att verka, därför att man sålunda ville vara försiktig med en nyhet,</w:t>
        <w:br/>
        <w:br/>
        <w:t>biskoparna alla de befogenheter, de förut haft, när man införde</w:t>
        <w:br/>
        <w:br/>
        <w:t>utöfvande af öfverstyrelsen, utan man lät biskoparna som eforer bibehålla en del</w:t>
        <w:br/>
        <w:br/>
        <w:t>af nämnda befogenheter. Dessa befogenheter äro i hufvudsak följande: Biskoparna ha fortfarande rätt att bestämma om ordningen för skolungdomens gudstjänstbesök; de ha att bestämma tiden för början och slut på terminerna; de skola utse examensvittnen; de ha rätt att afgifva yttrande öfver sökande till ämneslärarebefattningar, då uti befattningarna ingår undervisningsskyldighet i kristendom; de ha slutligen rätt att öfva uppsyn öfver det sätt, hvarpå kristendomsundervisningen handhafves, att för sådant ändamål inspektera läroverken samt att göra anmälan hos öfverstyrelsen, om da finna anledning till anmärkning. Nu föreslår motionären, att dessa befogenheter skola fråntagas biskoparna. Då uppställa sig följande frågor: 1) Aro de befogenheter, biskoparna som eforer ha, till någon nytta eller kunna de vara det och 2) äro dessa befogenheter till någon skada eller kunna de vara det?</w:t>
        <w:br/>
        <w:br/>
        <w:t>Hvad då först beträffar sådana befogenheter som att bestämma tid för början och slut på terminerna, att utse examensvittnen, att bestämma ordningen för skolungdomens gudstjänstbesök o. s. v., så tror jag, att man utan öfverdrift kan säga, att i nu nämnda afseenden kunna erforerna icke göra någon verklig nytta, som icke likaväl skulle kunna utföras af andra myndigheter, rektorer, öfverstyrelse, kollegier eller andra dylika.</w:t>
        <w:br/>
        <w:br/>
        <w:t>Hvad sen beträffar frågan om biskoparnas rätt att afge yttrande om sökande till kristendomslektorat, så skulle man väl kunna tänka sig, att biskoparna härutinnan hafva tillfälle att, såsom utskottet säger, verka som ett led i det samband, som bör finnas mellan läroverken som ungdomens fostrarinna och kyrkan som vårdarinna af statens religion. Men det är att märka, att vid utöfvandet af denna befogenhet biskoparna äro strängt bundna af lagens bestämmelser. Dessa återfinnas i läroverksstadgan, där det heter i 179 $: »Sökande till lektors eller adjunkts tjänst skall 1) vid den tid, då tjänsten är att tillträda, hafva uppnått tjugutre års ålder; 2) vara fri från sjukdom eller lyte, som gör den sökande för lärarekallet olämplig; 3) vara känd för hedrande vandel, samt, därest tjänsten omfattar undervisning i kristendom, bekänna sig till den rena evangeliska läran; 4) utmärka sig för det allvar och den stadga i karaktären samt den foglighet i lynnet, som ungdomens ledning kräfver; 5) besitta förmåga att lätt och tydligt meddela undervisning; 6) äga grundlig insikt i de ämnen, som till den sökta tjänsten höra; 7) hafva förberedt sig till lärarekallet genom vederbörligen genomgången profårskurs; samt 8) vid allmänt läroverk eller annan under öfverstyrelsens inseende ställd läroanstalt eller vid folkskoleseminarium hafva under minst två läsår med nit och skicklighet bestridt tjänstgöring till den omfattning, som enligt 8 133 mom. 2 åligger</w:t>
        <w:br/>
        <w:br/>
        <w:t>lektor eller adjunkt, eller under minst lika lång tid hafva såsom docent vid universitet bestridt tjänstgöring af enahanda art, som för docent, hvilken vunnit behörighet till anställning vid allmänt läroverk, berättigar till lönetursberäkning vid sådant läroverk.»</w:t>
        <w:br/>
        <w:br/>
        <w:t>Sedan säges det i &amp; 183: »Vid afgifvande af sådant förslag, som i mom. 1 omförmäles, skall i första hand tillses, att de villkor, som innehållas i &amp; 179» — det var det jag läste upp — »blifvit uppfyllda, och skola därjämte såsom befordringsgrunder i följande ordning gälla: a) skicklighet och nit i ungdomens undervisning och handledning; b) lärdomsförtjänster, särskildt i de ämnen, som höra till den ifrågavarande tjänsten; c) längden af föregående, väl vitsordad tjänstgöring vid de 1 $&amp; 179 punkt 8) omförmälda läroanstalter.&gt; Slutligen står det: »I fråga om lektorstjänst skola dock lärdomsförtjänster, särskildt om de förefinnas i de till tjänsten hörande läroämnen, såsom befordringsgrad likställas med undervisningsskickligheten.»</w:t>
        <w:br/>
        <w:br/>
        <w:t>Dessa bestämmelser äro biskoparna vid utöfvandet af sitt eforat skyldiga att ställa sig till efterrättelse. För dem får icke finnas några andra hänsyn än de nu uppräknade. Särskildt hvad beträffar villkoret att sökande till dessa befattningar skola bekänna sig till den rena evangeliska läran, kan man möjligen fråga sig, om icke biskopen på den punkten kan tänkas vara befogad att öfva ett själfständigt inflytande. — Men jag vågar tro, att så icke är fallet. Jag hyser den uppfattningen, att biskoparna äfven i denna punkt ha att utöfva en mera formellt granskande verksamhet. De ha att se till, att de sökande fortfarande tillhöra statskyrkan och icke utträdt därifrån. Jag vågar således tro, att biskoparna icke på grund af denna bestämmelse äro befogade att exempelvis fästa afseende vid de skrifter, som den sökande utgifvit, och att se till huruvida i dessa skrifter gjort sig gällande några läromeningar, som i ett eller annat afseende afvika från den ena eller andra kyrkliga bekännelseskriften. Någon verklig maktbefogenhet på grund af denna rätt att afgifva yttrande öfver sökande till kristendomslektorat, torde således biskoparna icke äga. Likaså torde biskoparnas befogenhet att hålla uppsikt öfver det sätt, på hvilket kristendomsundervisningen handhafves, och att för sådant ändamål inspektera läroverken, icke innebära någon verklig maktbefogenhet. Det enda biskopen kan göra, om han vid en dylik inspektion finner anledning till anmärkning, är att göra anmälan om förhållandet hos öfverstyrelsen. Nu kan man fråga: Kunna då icke biskoparna på detta sätt göra nytta? Jo, det vill jag gärna erkänna. Det är ju alldeles gifvet, att biskoparna på det sättet hafva tillfälle att komma öfver missförhållanden, som genom deras ingripande kunna blifva rättade. Här måste man erkänna, att biskoparna kunna göra en verklig nytta. Men sedan kan man ju också göra sig den frågan: Ar det verkligen skäl att för detta syftes vinnande draga biskoparna ifrån hvad som väl måste anses vara deras egentliga lifsuppgift? Skulle icke denna</w:t>
        <w:br/>
        <w:br/>
        <w:t>granskande verksamhet med fullt förtroende kunna öfverlämnas åt öfverstyrelsen? Det torde vara så mycket mera befogadt att göra sig den frågan, som det, efter hvad det upplystes under diskussionen</w:t>
        <w:br/>
        <w:br/>
        <w:t>utöfvande af om denna fråga i Första kammaren för några dagar sedan, i ett</w:t>
        <w:br/>
        <w:br/>
        <w:t>biskopligt herdabref, jag tror från 1884, hade uttalats ett beklagande öfver att biskoparnas verksamhet förrycktes genom deras skyldighet att ha tillsynen öfver läroverken och genom det arbete, som i det afseendet ålåg dem. Visserligen har det arbetet sedan 1884 min-</w:t>
        <w:br/>
        <w:br/>
        <w:t>'skats, men i alla fall gäller dock principen äfven om de åligganden,</w:t>
        <w:br/>
        <w:br/>
        <w:t>som de i detta afseende fortfarande hafva.</w:t>
        <w:br/>
        <w:br/>
        <w:t xml:space="preserve">Enligt min tanke måste man således besvara den förstnämnda frågan — den huruvida biskoparna genom dessa befogenheter för närvarande äro i tillfälle att utöfva verklig nytta: att göra en verklig personlig insats i fråga om vården om läroverken — med nej. Man kan således rent af säga, att det biskopliga eforatet numera är att betrakta som ett slags rudimentärt organ, som ett minne af en verksamhet, som funnits men försvunnit. Jag kommer så till den andra frågan: Göra biskoparna någon skada genom att utöfva dessa befogenheter, eller kan man befara, att deras befogenheter i detta fall kunna lända till någon skada? Ja, i det fallet får jag för min del säga, att jag icke hört, att utöfvandet af eforatet, särskildt i dess nuvarande starkt begränsade omfattning, har varit till någon skada. Jag har icke heller sett, att motionären påvisat detta, och det förefaller mig antagligt, att så icke skett. Man skulle då kunna säga, att denna fråga icke är af vidare stor räckvidd, och jag skall gärna gå in därpå, men dock tror jag, att man måste gifva motionären rätt i, att det föreligger en fara för att utöfvandet af denna befogenhet kan komma att vålla slitningar och oreda. Det är väl i allmänhet icke lämpligt, att två sidoordnade och parallella myndigheter ha att utöfva ett slags öfverinseende öfver en och samma verksamhet, såsom här är fallet. Det kan nämligen mycket väl tänkas inträfta, att öfverstyrelsen och eforerna vid utöfvandet af sin befogenhet beträffande läroverken komma att ledas af väsentligen skilda grundsatser, något som icke gärna kan vara nyttigt för läroverken och icke heller för eforerna själfva, efter hvad jag vill förmoda. Jag vill för öfrigt erinra herrarna om, att det för några år sedan verkligen förekommo ansatser till slitningar i det här afseendet. Det förekom nämligen då ett ganska hvasst meningsutbyte mellan öfverstyrelsens chef och en af biskoparna i en kompetenskonflikt, jag tror det var angående </w:t>
      </w:r>
      <w:r>
        <w:rPr>
          <w:b/>
        </w:rPr>
        <w:t>flickläroverken²</w:t>
      </w:r>
      <w:r>
        <w:rPr>
          <w:b w:val="0"/>
        </w:rPr>
        <w:t>. Det kan icke vara nyttigt, att sådana konflikter upprepas, och man har anledning att frukta, att så skall komma att ske i framtiden.</w:t>
        <w:br/>
        <w:br/>
        <w:t>Ehuru jag således, herr vice talman, icke vill påstå, att det nuvarande eforatet medför några större olägenheter, ber jag emellertid, med hänsyn till den fara, som ligger i denna anordning, att få hemställa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