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w:t>
      </w:r>
    </w:p>
    <w:p>
      <w:r>
        <w:rPr>
          <w:b/>
        </w:rPr>
        <w:t xml:space="preserve">Datum: </w:t>
      </w:r>
      <w:r>
        <w:t>1910-04-20</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von Baumgarten (–, man)</w:t>
      </w:r>
    </w:p>
    <w:p>
      <w:r>
        <w:rPr>
          <w:b w:val="0"/>
        </w:rPr>
        <w:t>Jag är i hufvudsak af samma åsikt</w:t>
        <w:br/>
        <w:br/>
        <w:t>männa lärogom den förste ärade talaren. Jag hade dock helst sett, att icke</w:t>
        <w:br/>
        <w:br/>
        <w:t>något skrifvelseförslag alls kommit till stånd i denna fråga. Ty jag anser, att Riksdagen skrifver alltför ofta. Och jag befarar, att när regeringens förslag en gång kommer till Riksdagen, många skola känna sig vemodiga och tveksamma om, huru de skola fatta sitt beslut, emedan förslaget innehåller något annat än hvad de tänkt sig.</w:t>
        <w:br/>
        <w:br/>
        <w:t xml:space="preserve">Här har talats om obligatorisk kyrkogång. Jag ber att få fästa uppmärksamheten på föreskriffen i paragraf 24 af 1905 års läroverksstadga, där det säges: »Sönoch helgdagar böra lärjungarna, så ofta och i den ordning eforus på rektorns förslag bestämmer, bevista högmässogudstjänsten eller särskildt anordnad skolgudstjänst»&gt;. Och det är ganska vanligt i landet, att det är särskild skolgudstjänst för skolungdom. Så är t. ex. förhållandet i Växjö. Där har eforus på rektors förslag anordnat särskilda skolgudstjänster hvar fjortonde dag. Hvarannan söndag infinna sig vid dessa skolgudstjänster i kyrkan icke blott lärjungar vid allmänna läroverket, utan äfven lärjungar vid </w:t>
      </w:r>
      <w:r>
        <w:rPr>
          <w:b/>
        </w:rPr>
        <w:t>flickskolan²</w:t>
      </w:r>
      <w:r>
        <w:rPr>
          <w:b w:val="0"/>
        </w:rPr>
        <w:t>, seminariet och folkskolan, och för dessa håller församlingens präst en kortare betraktelse, man har kortare ritual, ett par psalmer sjungas, och hela gudstjänsten tager knappt en timmes tid. Det anser jag vara ett fullt tillfredsställande och godt förslag. Föräldrar och målsmän böra äfven i «det fallet få yttra sig om sina barns kyrkogång, och om de vilja, att de skola uppfostras i den kristna läran. Men icke må herrarna tänka sig, att om lärjungarna finge fritt välja, det blefve många af dem, som ginge i kyrkan, då det finnes så mycket annat att välja på.</w:t>
        <w:br/>
        <w:br/>
        <w:t>Då nu herr vice talmannen framkommit med ett förslag, som jag kan vara med om, ber jag att tå yrka bifall till detta förslag. Jag kan dock icke neka till, att under utskottets förslag ligger ett visst moment, som icke är tilltalande. Eforus skulle nämligen därigenom beröfvas rättigheten att deltaga i bestimmandet af skolgudstjänsterna, och förslaget ansluter sig sålunda till det sätt, hvarpå Andra kammaren söker beröfva eforus inspektionsrätten öfver de allmänna läroverken, hvilken rätt bör ytterligare kringgärdas.</w:t>
        <w:br/>
        <w:br/>
        <w:t>Jag ber för min del att få yrka bifall till herr vice talmannens förslag.</w:t>
      </w:r>
    </w:p>
    <w:p>
      <w:pPr>
        <w:pStyle w:val="Heading2"/>
      </w:pPr>
      <w:r>
        <w:t>2. Hugo Hernlund (Första kammarens moderata parti, man)</w:t>
      </w:r>
    </w:p>
    <w:p>
      <w:r>
        <w:rPr>
          <w:b w:val="0"/>
        </w:rPr>
        <w:t>Jag vill börja med att för min del inlägga en bestämd gensaga mot det uttalandet af herr ordföranden i tillfälliga utskottet, att det slut, till hvilket utskottet kommit, skulle vara synnerligen tillfredsställande. Jag anser detta slut i stället vara synnerligen otillfredsställande. Däremot ansluter jag mig med hela min själ till det uttalande, som herr vice talmannen haft, och i hvilket jag nästan ord för ord kan instämma. Jag grundar detta mitt uttalande så i ena som i andra fallet på en ganska lång erfarenhet om, huru på detta område lämpligen bör förfaras.</w:t>
        <w:br/>
        <w:br/>
        <w:t>Tänker jag nu först på hvad ordföranden i tillfälliga utskottet,</w:t>
        <w:br/>
        <w:br/>
        <w:t>bar förklarat vara så synnerligen välbetänkt, heter det i utlåtandet, Angående att Riksdagen skulle »hos Kungl. Maj:t anhålla om sådan ändring 1upphäfvande läroverksstadgan, att lärjungarnas obligatoriska bevistande af de vanliga rifle oh högmissogudstjänsterna måtte upphöra, och att dessa» — nu kommer jörjungarnas man till det betänkliga — »i den mån så kan finnas lämpligt, blefve vid de allersatta af särskilda skolgudstjänster». Det betänkliga ligger i det,männa läroatt man anhåller, att det obligatoriska skall försvinna, och att man verken obli- SR sor LA ADA io so 0 + gatoriska säger, att om det befinnes lämpligt, skall det bli något annat. Däri ryrkobesök ligger, såvidt jag kan se och bedöma saken, ungefär detsamma som (Forts. i Andra kammarens beslut, och i detta vill jag icke instämma. Jag är emellertid långt ifrån någon vän af obligatoriska skolgudstjänster såsom sådana, men jag anser, att den bestämmelse, som finnes i vår nuvarande läroverksstadga, är sä ofarlig i afseende på tvånget och kan tillämpas på det sätt, som sker t. ex. här i Stockholm, så att det icke alls blir något tvång, icke något annat tvång än det, som från skolans sida lämpligen bör utöfvas, och som jag, hvarje gång en skolgudstjänst annonseras, utöfvar. Jag meddelar på lördagen: »i morgon bålles skolgudstjänst&gt;, och uttalar, att jag hoppas, att lärjungarna skola talrikt komma tillstädes. Jag har förut en och annan gång framhållit, att det är min innerliga öfvertygelse, att dessa ungdomsgudstjänster lämna lärjungarne en behållning, som de icke få vid något annat tillfälle. Jag har funnit under ett ständigt bevistande at dessa skolgudstjänster under åtskilliga år, att de predikanter, som vi vidtalat för dessa skolgudstjänsters hållande — jag har särskildt att göra med detta såsom ordförande i den kommitté, som kungl. direktionen för Stockholms stads undervisningsverk har tillsatt för att få dessa skolgudstjänster anordnade — fullgjort sitt åtagande åtminstone i de allra flesta fall på ett sätt, som varit i hög grad ägnadt att tilltala ungdomens religiösa känsla och lämnat en mycket god behållning. Jag har hört många lärjungar förklara, att de varit glada öfver att ha varit med om dessa gudstjänster, och öfver att jag uppmanat dem att besöka desamma, därför att de funnit, att rektors ord om dessa gudstjänsters betydelse för de ungas religiösa lif verkligen innebära en sanning.</w:t>
        <w:br/>
        <w:br/>
        <w:t>Emellertid — jag upprepar det ärnu en gång — jag är icke någon vän af tvång i avnan mening, än att det bör utöfvas en viss inverkan, att det bör utöfvas en viss pätryckning, i den mån man anser det vara nyttigt för ungdomen, att den begagnar sig af dessa gudstjänster. Den bestämmelse, som nu finnes kvar, är i hög grad rudimentär i förhållande till alla de bestämmelser, som funnits allt från reformationens genomförande ända till våra dagar. En talare i Andra kammaren, professor Edén, sade, att det icke har skett någon ändring i detta tvång under tidernas lopp. Men det förvånar mig, att en historiarumprofessor kunnat göra ett sådant uttalande. Ty för hvart århundrade har det skett ett successivt aflastande — ja, jag kallar det ett aflastande — aft det tvång, som förut fanns på detta område. På 1600-talet fanns det t. ex. tvång för de äldre lärjungarna, att hvarje dag kl. 10 vara i kyrkan för att deltaga i den bön, som där hölls, för att icke tala om veckopredikningarna och samtliga gudstjänsterna på söndagarna, så ock predikoförhör ofvanpå allt detta. Det mesta ar det nu nämnda</w:t>
        <w:br/>
        <w:br/>
        <w:t>försvann under 1700-talet. Andra inskränkningar skedde under 1800-</w:t>
        <w:br/>
        <w:br/>
        <w:t>upphäfvande talet. Och nu stå vi till sist vid något verkligen så beskedligt, att</w:t>
        <w:br/>
        <w:br/>
        <w:t>af föreskriften om lärjungarnas</w:t>
        <w:br/>
        <w:br/>
        <w:t>Första kammaren tvifvelsutan har många andra, mera berättigade anledningar att skrifva till Kungl. Maj:t om ändringar af läroverksgstad-</w:t>
        <w:br/>
        <w:br/>
        <w:t>vid de allgan än beträffande den förevarande paragrafen.</w:t>
        <w:br/>
        <w:br/>
        <w:t>I sammanhang med detta, då jag talar om tillfälliga utskottets yttrande i denna fråga, kan jag icke annat än förvåna mig öfver den passus i utskottets motivering, där utskottet talar om, att det kunde hända, att man genom att ansluta sig till Andra kammarens mening kunde få äfven andra andaktsstunder, t. ex. morgonbönerna, indragna, eller åtminstone att något dylikt kunde ifrågasättas. Det är, herr Biörklund, emellertid icke fraga om att ändra paragraf 23 i läroverksstadgan. Den talar om dessa morgonandaktsstunder. Det är nu blott fråga om de i &amp; 24 af samma stadga omtalade högmiässogudstjänster på söndagarna och andra belgdagar. Det nyss berörda bekymret behöfver således hvarken tillfälliga utskottet eller Första kammaren hafva.</w:t>
        <w:br/>
        <w:br/>
        <w:t xml:space="preserve">Som sagdt, i Stockholm har stadgandet tillämpats så, att direktionen öfver Stockholms stads undervisningsverk utsett vissa kommitterade, som tagit hand om saken och satt sig i förbindelse med intresserade prästmän. Det har i allmänhet anordnats ungefär 12 gudstjänster under läsåret, och dessa ha varit talrikt besökta, icke blott därför att den manliga ungdomen kommit dit från vissa läroverk, där det utöfvas ett visst inflytande på ungdomen i detta hänseende, utan dessa gudstjänster anordnas lika mycket för den </w:t>
      </w:r>
      <w:r>
        <w:rPr>
          <w:b/>
        </w:rPr>
        <w:t>kvinnliga¹</w:t>
      </w:r>
      <w:r>
        <w:rPr>
          <w:b w:val="0"/>
        </w:rPr>
        <w:t xml:space="preserve"> ungdomen i </w:t>
      </w:r>
      <w:r>
        <w:rPr>
          <w:b/>
        </w:rPr>
        <w:t>flickskolorna²</w:t>
      </w:r>
      <w:r>
        <w:rPr>
          <w:b w:val="0"/>
        </w:rPr>
        <w:t xml:space="preserve"> och samskolorna, och det utsändes för hvarje sådan gudstjänst, som nu är i fråga, meddelande till alla läroverk, manliga, </w:t>
      </w:r>
      <w:r>
        <w:rPr>
          <w:b/>
        </w:rPr>
        <w:t>kvinnliga¹</w:t>
      </w:r>
      <w:r>
        <w:rPr>
          <w:b w:val="0"/>
        </w:rPr>
        <w:t xml:space="preserve"> och samskolor, som ha ungdom af den ålder, att ungdomen lämpligen bör kallas till skolgudstjänst. Ar det nu så,</w:t>
        <w:br/>
        <w:br/>
        <w:t xml:space="preserve">att predikanten — man meddelar, att det är den och den predikanten — är särskildt populär för </w:t>
      </w:r>
      <w:r>
        <w:rPr>
          <w:b/>
        </w:rPr>
        <w:t>flickskolornas²</w:t>
      </w:r>
      <w:r>
        <w:rPr>
          <w:b w:val="0"/>
        </w:rPr>
        <w:t xml:space="preserve"> föreståndarinnor och</w:t>
        <w:br/>
        <w:br/>
        <w:t>elever, så blir det en ytterst stor anslutning, ja, så stor, att den manliga ungdomen knappast får plats i kyrkan.</w:t>
        <w:br/>
        <w:br/>
        <w:t>Nu säger man ock: »om det är så, att man icke vill ha något tvång i detta hänseende, hvarför kan man icke säga det rent ut?» Jo, det är ganska betänkligt, isynnerhet som det finnes vissa paragrafer i läroverksstadgan, som ha en sådan affattning, att, om man tager bort bestämmelsen om kyrkobesök, gör man ett ganska betänkligt intrång på andra ställen. Det förekommer t. ex. i paragraf 51 ett moment af följande lydelse: »lärjunge vinnlägge sig om gudsfruktan, flit och goda seder&gt; ete. Han skall således bland annat vinnlägga sig om gudsfruktan. Hvad är det? Jo, han läser i katekesen eller de andra böcker, som trädt i dess ställe, om att han skall helga hvilodagen. Om det nu är så, att han fär veta detta och vidare får veta, att till helgandet af hvilodagen hör bland annat att höra Guds ord under densamma, samt sedermera ock får höra, att Riksdagen skrifvit till Kungl. Maj:t och begärt, att den här föreskriften icke vidare skall förekomma, åtminstone icke i den form den nu har, då fruktar jag för, att man med eller mot sin vilja medverkar till resultat, som den förste ärade talaren framhöll såsom en fara bakom åt-</w:t>
        <w:br/>
        <w:br/>
        <w:t>skilliga af de motioner, som vid denna riksdag framkommit. Det Angående finnes nog ock andra paragrafer, som skulle lida af ett borttagande af upphälvande den här föreskriften. Och är det nu så, att den är skäligen oskadskriften om lig i den form, den nu förekommer, och är det ock så, att den kan lärjungarnas tillämpas på det sätt, som det sker här i Stockholm, och som nog vid de allockså godkännes af Kungl. Maj:t — detta kan man vara viss om, då Porren läro- E : &amp; 2 . Fu verken obli- Kungl. Maj:t redan år 1902, således innan denna paragraf tillkom, ”gatoriska såsom det i tillfälliga utskottets betänkande omnämnes, gaf sitt kyrkobesök. bifall till en framställning af Luleå läroverkskollegium i denna (Forts) riktning. — Så synes det mig, som om man skulle kunna med full-</w:t>
        <w:br/>
        <w:br/>
        <w:t>komligt lugn låta den nuvarande paragrafen vara kvar, tills det blir</w:t>
        <w:br/>
        <w:br/>
        <w:t>en ny revision af läroverksstadgan, och under tiden främja det syfte,</w:t>
        <w:br/>
        <w:br/>
        <w:t>som alla äro ense om, nämligen att särskilda skolgudstjänster böra</w:t>
        <w:br/>
        <w:br/>
        <w:t>i rikare mån än hittills komma till stånd genom att ansluta sig till</w:t>
        <w:br/>
        <w:br/>
        <w:t>herr vice talmannens förslag, till hvilket jag yrkar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