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1155</w:t>
      </w:r>
    </w:p>
    <w:p>
      <w:r>
        <w:rPr>
          <w:b/>
        </w:rPr>
        <w:t xml:space="preserve">Datum: </w:t>
      </w:r>
      <w:r>
        <w:t>1910-05-23</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Knut Tengdahl (Socialdemokraterna, man)</w:t>
      </w:r>
    </w:p>
    <w:p>
      <w:r>
        <w:rPr>
          <w:b w:val="0"/>
        </w:rPr>
        <w:t xml:space="preserve">I moment 8 af nu föreliggande paragraf har Kungl. Maj:t på ett, såsom jag anser, synnerligen olyckligt sätt rört ihop saker, som icke böra röras ihop, nämligen frågan om sjukförsäkring och frågan om olycksfallsförsäkring, eller, rättare sagdt, frågan om olycksfallsersättningslagens revision. Jag vill naturligtvis icke blifva förstådd så, särskildt icke af sjukkassefolket, att jag med min reservation i denna punkt skulle missunna någon sjuk människa, som blifvit sjuk genom olycksfall, att få ett slags företräde till sjukhjälp i jämförelse med om </w:t>
      </w:r>
      <w:r>
        <w:rPr>
          <w:b/>
        </w:rPr>
        <w:t>hon²</w:t>
      </w:r>
      <w:r>
        <w:rPr>
          <w:b w:val="0"/>
        </w:rPr>
        <w:t xml:space="preserve"> drabbats af vanlig sjukdom, ty det skulle ju vara hårdhjärtadt af mig. Hvad jag i min reservation velat säga är, att hvad Kungl. Maj:t här vill ha in i förslaget icke har sin rätta plats i sjukkasselagen, åtminstone icke i detta ögonblick, ty därigenom trasslar man bort hela frågan. Man flyttar då öfver arbetsgifvarens ansvarighet för olycksfall på andra, som strängt taget icke ha med den saken att göra.</w:t>
        <w:br/>
        <w:br/>
        <w:t>Vidare är detta moment 8 olyckligt stiliseradt så till vida, att man icke vet, huru det rätt skall tolkas dels för det fall, att sjukdom kommer före olycksfall, dels äfven för det fall, att olycksfallet kommer före sjukdom. 1 det ena fallet skulle man ha rättighet till utsträckt sjuktid, men icke så i det andra. Jag anser, som sagdt, att denna bestämmelse om att sjukkassa vid olycksfall skall svara för de sextio första dagarna, karensdagarna, är icke i och för sig olycklig, men olycklig i detta ögonblick, då den ju skymmer bort frågan om olycksfallsersättningslagens revision och frågan om arbetsgifvarnes skyldighet att bära ansvaret för olycksfall.</w:t>
        <w:br/>
        <w:br/>
        <w:t>Då jag icke vill ha en dylik samröra, har Jag yrkat afslag å mom. 8, och hemställer jag nu, herr talman, om bifall till den nu föredragna</w:t>
        <w:br/>
        <w:br/>
        <w:t>paragrafen med uteslutande af moment 8 andra stycket, som jag icke Ang. lag om. anser har något där att göra. sjukkassor (Forts.)</w:t>
      </w:r>
    </w:p>
    <w:p>
      <w:pPr>
        <w:pStyle w:val="Heading2"/>
      </w:pPr>
      <w:r>
        <w:t>2. Theodor Zetterstrand (Frisinnade försvarsvänner, man)</w:t>
      </w:r>
    </w:p>
    <w:p>
      <w:r>
        <w:rPr>
          <w:b w:val="0"/>
        </w:rPr>
        <w:t>Herr talman! Detta stycke, som herr Tengdahl nu yrkat skall utgå, afser att, så vidt möjligt, bereda hjälp åt dem, som blifvit skadade vid olycksfall. Man anser, att dessa böra ha rätt att få ersättning ur sjukkassan och att de, äfven om de varit sjuka i 90 dagar under ett kalenderår, därefter med anledning af inträffadt olycksfall skulle ha rättighet att få ersättning ur sjukkassan intill 60 dagar. Detta är, som sagdt, förestafvadt af ömhet om dem, som lidit olycksfall. Nu har sjukkassefolket icke haft något att erinra mot att sjukkassa skulle åtaga sig en dylik ersättningsskyldighet, och därför har denna bestämmelse kommit in i lagen. Å andra sidan har herr Tengdahl emellertid påpekat, och detta med rätta, att det tycks vara en oegentlighet att, då olycksfallet inträffar först och sjukdomsfallet sedan, så blir sjukhjälpen reducerad. Det riktigaste vore väl, att äfven i sådant fall både olycksfallsersättningen och sjukhjälpen skulle utgå fullständigt. Så är icke förhållandet, men det beror på, att man från sjukkasefolkets sida icke anser sig kunna ikläda sig äfven detta, och då man från sjukkassehåll icke kunnat vara med om det, och jag icke tror, att man kan följa regeln: »tål ni det, så tål ni det», yrkar jag att momentet måtte kvarstå. Tar man bort momentet så har man gifvetvis skadat den, som råkar ut för olycksfall, och det vilja vi väl icke.</w:t>
      </w:r>
    </w:p>
    <w:p>
      <w:pPr>
        <w:pStyle w:val="Heading2"/>
      </w:pPr>
      <w:r>
        <w:t>3. Knut Tengdahl (Socialdemokraterna, man)</w:t>
      </w:r>
    </w:p>
    <w:p>
      <w:r>
        <w:rPr>
          <w:b w:val="0"/>
        </w:rPr>
        <w:t xml:space="preserve">Jag glömde tillägga en sak, som dock torde ha framgått af hela andan i mitt resonemang, nämligen att med denna reform blir det hvarken hackadt eller malet. En hel del människor, som händelsevis äro medlemmar i en sjukkassa, få visserligen med frågan om ersättning för olycksfall en viss förmån, medan för alla andra, som icke äro medlemmar i någon sådan kassa, det fortfarande är lika illa som itörut. De äro i händelse af olycka i värsta fall hänvisade till fattigvården. Det är för att få klara linjer i detta fall och för att få fastslaget, hvart en stackars människa skall ha rättighet att gå, när </w:t>
      </w:r>
      <w:r>
        <w:rPr>
          <w:b/>
        </w:rPr>
        <w:t>hon²</w:t>
      </w:r>
      <w:r>
        <w:rPr>
          <w:b w:val="0"/>
        </w:rPr>
        <w:t xml:space="preserve"> blir utsatt för olycksfall, som jag här yrkat afslag å ifrågavarande moment 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1155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