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138</w:t>
      </w:r>
    </w:p>
    <w:p>
      <w:r>
        <w:rPr>
          <w:b/>
        </w:rPr>
        <w:t xml:space="preserve">Datum: </w:t>
      </w:r>
      <w:r>
        <w:t>1910-06-03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Lindblad (Lantmannapartiet, man)</w:t>
      </w:r>
    </w:p>
    <w:p>
      <w:r>
        <w:rPr>
          <w:b w:val="0"/>
        </w:rPr>
        <w:t>Vid denna paragraf finnes det en reservation af herr Nilsson i Bonarp m. fl. Den rör sig om rätt till afdrag för aflöning, kost och öfriga utgifter för de i skattskyldigs verksamhet anvånda biträden -och arbetare. Hvar och en, som läser bestämmelsen därom i utskottets förslag, tror naturligtvis, att afdrag skall få göras äfven för en hemmavarande son, till hvilken man betalar lön, och att man har rätt att afdraga äfven för hans kost, men i motiveringen och äfven i anvisningarna har statsrådet gifvit till känna, att det ingalunda är hans mening. Anvisningarna säga: »Ej heller må afdrag äga rum för lön och underhåll åt hemmavarande barn, som deltaga i rörelsen eller yrket, så framt de icke särskildt taxeras för sin inkomst däraf.&gt; Härvid vill jag påpeka, att i ordet: »taxeras», ligger en tvetydighet. Man vet ej, om det syftas på taxering efter bevillningsförordningen eller efter inkomstskatteförordningen. Det är sålunda helt olika gränser, som det rör sig inom. Men i hvarje fall ligger enligt mitt och mångas förmenande en orättvisa i detta, ty det är naturligtvis högst få ogifta bonddrängar och torpardrängar, som blifva särskildt taxerade, och då kan man aldrig begripa, hvarför lagen skall uppställa den åtskillnaden, att, om bonden eller torparen betalar lön till hemmavarande son, han icke får draga af lönen, därest sonen icke är särskildt taxerad, men, om det är en fristående arbetare eller om den hemmavarande sonen skulle blifva särskildt taxerad, bonden eller torparen får göra afdrag. Det ligger en fullständig inkonsekvens i detta. Jag vågar också försäkra, att om man</w:t>
        <w:br/>
        <w:br/>
        <w:t xml:space="preserve">än antager denna ordalydelse, kommer den ej att i praktiken tillämpas annat än i rena undantagsfall och efter klagomål inför högre myndighet. Ty folkmeningen kan ej begripa den åtskillnad, som lagstiftaren här ansett sig böra göra. Och nu vill jag påpeka, att det gäller våra svagaste landtbrukare, våra småbönder och torpare. Det är en känd sak, att det är svårt för torpare i våra dagar att få vare sig drängar eller </w:t>
      </w:r>
      <w:r>
        <w:rPr>
          <w:b/>
        </w:rPr>
        <w:t>pigor³</w:t>
      </w:r>
      <w:r>
        <w:rPr>
          <w:b w:val="0"/>
        </w:rPr>
        <w:t>. Så länge de kunna hafva vuxna barn att utgöra torpskatterna eller som biträden i hemmen, lyckas det dem i alla fall att draga sig fram, men att torparen skall taxeras för den samfällda inkomst, som han och hemmavarande söner draga till hemmet, kan man ej förstå, när han dock får afdrag, om det är en oskyld, till hvilken han betalar lön.</w:t>
        <w:br/>
        <w:br/>
        <w:t>Då jag vid en föregående votering här fann, att kammaren ej var benägen för att inlåta sig på gemensamma voteringar, vill jag påpeka, att det här är tillfälle att undvika gemensam votering. Ty reservation är antagen i Andra kammaren.</w:t>
        <w:br/>
        <w:br/>
        <w:t>Jag ber att få yrka bifall till reservationen.</w:t>
      </w:r>
    </w:p>
    <w:p>
      <w:pPr>
        <w:pStyle w:val="Heading2"/>
      </w:pPr>
      <w:r>
        <w:t>2. Carl Swartz (Första kammarens nationella parti, man)</w:t>
      </w:r>
    </w:p>
    <w:p>
      <w:r>
        <w:rPr>
          <w:b w:val="0"/>
        </w:rPr>
        <w:t xml:space="preserve">Gentemot hvad den siste ärade talaren anfört ber jag att få framhålla, att det ju är en allmänt antagen regel, att, där familjen är i intressegemenskap förenad, familjens öfverhufvud också skall erlägga skatt för de inkomster, som familjen på det sättet har. Det enda — och praktiskt sedt i hufvudsak formella — undantaget därvidlag är ju infördt för </w:t>
      </w:r>
      <w:r>
        <w:rPr>
          <w:b/>
        </w:rPr>
        <w:t>hustrun²</w:t>
      </w:r>
      <w:r>
        <w:rPr>
          <w:b w:val="0"/>
        </w:rPr>
        <w:t xml:space="preserve"> med afseende å hvad </w:t>
      </w:r>
      <w:r>
        <w:rPr>
          <w:b/>
        </w:rPr>
        <w:t>hon²</w:t>
      </w:r>
      <w:r>
        <w:rPr>
          <w:b w:val="0"/>
        </w:rPr>
        <w:t xml:space="preserve"> förtjänar. Här är ju ej fråga om att barnen själfva förtjäna någonting, utan det är ju fråga om det bidrag till det gemensamma hushållet, som genom deras arbete kan uppstå. Att medgifva afdrag, alldeles som om de vore anställda drängar i tjänst hos jordbrukaren, skulle, tror jag, vara att ganska betänkligt afvika från de principer, som ligga till grund för förslaget, och innebära en afvikelse från den beskattning, som sedan gammalt äger rum exempelvis för handtverkare, som använda sina egna barn i utöfvandet af sitt yrke. Jag tror icke, att det just kan betyda så mycket för den enskilde skattskyldige, men jag vill framhålla, att det kan komma att hafva en högst afsevärd inverkan på uppbörden af inkomstskatten just från jordbrukarne.</w:t>
        <w:br/>
        <w:br/>
        <w:t>Om det åtminstone hade framställts yrkande om att sådana afdrag som dessa skulle jämställas med de afdrag, som äro medgifna i 19 8, hade det ju icke kunnat vara så mycket att invända däremot från sistnämnda synpunkt. Ty som herrarne veta, sker afdrag enligt 19 8 först sedan den beräknade inkomsten och skatteprocenten för denna blifvit fastställda enligt skatteskalan i förslaget. Sedan man på detta sätt fått skatteprocenten fastställd, ske de afdrag som äro bestämda i 19 8. Om sålunda t. ex. en person har 1,500 kronors inkomst och han har tre barn, skulle ju skatteprocenten gå ut efter den, som enligt skatteskalan är bestämd för 1,500 kronors inkomst, men endast tillämpas på 900 kronors inkomst. Om däremot detta förslag skulle antagas, blefve ju skatteprocenten bestämd, som om hela inkomsten stannar vid 900 kronor. Om jag minskar talen på</w:t>
        <w:br/>
        <w:br/>
        <w:t>båda hållen med 200 kronor och säger, att 1,300 kronor är den skattskyldiges inkomst och att 600 kronor skola afdragas, så återstå 700 kronor, och då är vederbörande helt och hållet skattefri.</w:t>
        <w:br/>
        <w:br/>
        <w:t>Om emellertid bestämmelserna rörande det nu ifrågasatta afdraget förekommit i 19 8, hade han åtminstone fått betala för de 700 kronorna efter den skatteprocent, som är gällande för 1,300 kronor. Jag nödgas påpeka, att detta kan hafva en högst väsentlig inverkan på statskassans uppbörd i detta afseende, hvadan jag skulle vilja hemställa äfven till dem, som nu anse, att det finnes ett visst fog för sådan framställning som af den siste talaren gjorts — och det vill jag icke neka att "icke det så kan förefalla i visst afseende — att de vid detta tillfälle och vid denna riksdag måtte godkänna hvad Kungl. Maj:t här föreslagit och i så fall sedermera söka åstadkomma ett tillägg till $ 19 af det innehåll här är föreslaget. En sådan framställning är ju nu omöjlig att göra, emedan Andra kammaren redan fattat definitivt beslut i denna punkt. FEljest hade man ju kunnat begagna sig af en återremiss från båda kamrarna. Men på det af mig angifna sättet skulle man ju kunna, i den mån man ville gifva vika för de kraf, som 1 detta fall från jordbrukarehåll framställts, göra dem rättvisa utan att därvid draga öfver statskassan de betänkliga följder, som jag befarar skulle uppstå af ett bifall till det nu framställda 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