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1177</w:t>
      </w:r>
    </w:p>
    <w:p>
      <w:r>
        <w:rPr>
          <w:b/>
        </w:rPr>
        <w:t xml:space="preserve">Datum: </w:t>
      </w:r>
      <w:r>
        <w:t>1911-01-03</w:t>
      </w:r>
    </w:p>
    <w:p>
      <w:r>
        <w:rPr>
          <w:b/>
        </w:rPr>
        <w:t xml:space="preserve">Kammare: </w:t>
      </w:r>
      <w:r>
        <w:t>Andra kammaren</w:t>
      </w:r>
    </w:p>
    <w:p>
      <w:r>
        <w:rPr>
          <w:b/>
        </w:rPr>
        <w:t xml:space="preserve">Antal yttranden: </w:t>
      </w:r>
      <w:r>
        <w:t>6</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Carl Lindhagen (Socialdemokraterna, man)</w:t>
      </w:r>
    </w:p>
    <w:p>
      <w:r>
        <w:rPr>
          <w:b w:val="0"/>
        </w:rPr>
        <w:t>Då kammaren i denna punkt kommit in på en sak, som i viss mån berör pensionsförhållandena vid fångvården, skall jag med herr talmannens begifvande tillåta mig att i största korthet yttra några ord om dessa pensionsförhållanden i i allmänhet.</w:t>
        <w:br/>
        <w:br/>
        <w:t>Förhållandet är nämligen det, att jag i en särskild motion, som afstyrkts af utskottet under punkt 4, har behandlat denna fråga. Genom ett beklagligt förbiseende kom jag emellertid icke att i rätt tid begära ordet, när denna punkt behandlades. Jag har därför nu i stället lyckats bereda mig tillfälle att i denna sak säga några ord vid den föredragna punkten.</w:t>
        <w:br/>
        <w:br/>
        <w:t>I utskottets utlåtande sid. 6 finnes en uträkning om hvilka</w:t>
        <w:br/>
        <w:br/>
        <w:t>-pensionsförmåner, som åtnjutas af personalen vid fångvården såväl</w:t>
        <w:br/>
        <w:br/>
        <w:t>af högre som lägre grad, uträknade i viss procent af de kontanta löneförmånerna. Man finner däraf, att i fråga om det proportionella förhållandet mellan pensionen och den kontanta lönen man kan säga, att det är så att säga en organiserad oreda, i det att man knappast kan finna en procentsats, som är lik den andra. Detta är också en kraftig belysning af befogenheten af den motion, som väckts i år och föranledt bifall från Andra kammarens sida, om att alla de oregelbundenheter i löneregleringsafseende, som vidlåda den s. k. nya löneregleringen, måtte förr eller senare afhjälpas.</w:t>
        <w:br/>
        <w:br/>
        <w:t xml:space="preserve">Utom denna stora oregelbundenhet i allmänhet i fråga om fångvårdspersonalens pensionering fäste man sig också därvid, att för de lägre tjänstemännen eller den s. k. bevakningspersonalen, bestående enligt senaste stat af 14 uppsyningsmän, 51 öfverkonstaplar, 409 vaktkonstaplar, 6 första vaktfruar, 50 vaktfruar och 14 </w:t>
      </w:r>
      <w:r>
        <w:rPr>
          <w:b/>
        </w:rPr>
        <w:t>kokerskor³</w:t>
      </w:r>
      <w:r>
        <w:rPr>
          <w:b w:val="0"/>
        </w:rPr>
        <w:t>, pensionernas belopp i proportion till lönen är vida mindre än för de högre befattningshafvarna. Detta är ju ett ganska oegentligt förhållande, då vi väl måste säga, att ju mindre aflöning en befattningshafvare har, desto större del af lönen bör han proportionsvis åtnjuta som pension, ett system, som också noggrant och med konsekvens iakttagits vid Stockholms stads senaste lönereglering.</w:t>
        <w:br/>
        <w:br/>
        <w:t>Nu har denna bevakningspersonal också kommit underfund med, att motsvarande tjänstegrader i flera andra verk genom de senaste löneregleringarna kommit i åtnjutande af proportionsvis vida större pensionsförmåner. Dessutom är det för bevakningspersonalen ett gammalt kraf att komma upp till högre pension, och detta så väl ur synpunkten af hvad som i och för sig är rättvist och billigt som äfven ur synpunkten af öfverensstämmelse med hvad som tillgodokommit många andra verks motsvarande personal; och från sina vederbörande chefer hafva dessa tjänstemän fått uttalanden om att deras kraf befunnits mycket befogade. Men intet har åtgjorts åt desamma. -</w:t>
        <w:br/>
        <w:br/>
        <w:t>Nu har denna personal på sitt förbundsmöte i Örebro 1910 beslutat att försöka att vinna en ändring härutinnan, bland annat genom att vända sig till Riksdagen, och jag har för det ändamålet för dess räkning väckt den motion, som återfinnes under 4:de punkten i utskottets betänkande. I denna motion har, i enlighet med bevakningspersonalens vid nämnda förbundsmöte gjorda uttalande, yrkats, »att Riksdagen ville besluta, att de lägre tjänstemännen eller</w:t>
        <w:br/>
        <w:br/>
        <w:t>Härom har utskottet sagt det, att »då frågan om pensionsför- Lindholms</w:t>
        <w:br/>
        <w:br/>
        <w:t xml:space="preserve">hållandena vid fångvården ordnats genom lagen den 411 oktober </w:t>
      </w:r>
      <w:r>
        <w:rPr>
          <w:b/>
        </w:rPr>
        <w:t>änka²</w:t>
      </w:r>
      <w:r>
        <w:rPr>
          <w:b w:val="0"/>
        </w:rPr>
        <w:t xml:space="preserve"> och</w:t>
        <w:br/>
        <w:br/>
        <w:t>rörande befattningshafvarna vid fångvården, har utskottet ansett sig böra afstyrka bifall till motionen.»</w:t>
        <w:br/>
        <w:br/>
        <w:t>Ja, detta utlåtande är synnerligen märkvärdigt och af en mycket formell beskaffenhet. För det första är det oriktigt, att dessa pensionsförhållanden ordnats bara genom pensionslagen; utan pensionsförhållandena för tjänsteinnehafvare vid fångvården hafva ordnats genom denna pensionslag och den för verket antagna staten; och hvad som här är afgörande för huru stor pension de skola få, det är lika mycket och på visst sätt ännu mera själfva staten än pensionslagen, ty lagen hänför sig till förhållandena i staten. I den omnämnda lagen heter det nämligen, att »såsom underlag för bestämmande af pensions belopp skall, där ej särskildt pensionsunderlag blifvit i lönestaten fastställdt, tjäna:</w:t>
        <w:br/>
        <w:br/>
        <w:t>Nu är förhållandet visserligen det, att denna bevakningspersonal på grund af pensionslagen åtnjuter pension med lönens belopp. Men för att få rättelse i det öfverklagade förhållandet, hehöfves det ingen rättelse i pensionslagen — och det har heller icke motionären begärt — utan det behöfves allenast en rättelse i staten; och det kan ske antingen på det sättet, att det blir ett särskildt pensionsunderlag för denna personal, eller också på det sättet, att proportionen mellan lön och tjänstgöringspenningar i någon mån ändras. Det är däri rättelsen skulle bestå; motionären har icke alls begärt någon ändring 1 pensionslagen, hvilken automatiskt rättar sig efter bestämmelserna 1 lönestaten.</w:t>
        <w:br/>
        <w:br/>
        <w:t>Med den uppfattningen förfaller också helt och hållet utskottets resonemang, att det icke skulle vara skäl att nu göra ändring i pensionslagen, ty en sådan ändring har icke begärts. Men utskottet har genom detta talesätt kommit ifrån att ägna sig åt denna frågas sakliga sida, att behjärta de rättvisa synpunkter som här föreligga. Ja, det förefaller mig, som om utskottet på denna formella grund velat komma ifrån själfva sakfrågan, och jag kan icke neka till att det är som om bankoutskottet, i fråga om den del af sin befattning som afser riksstaten, skulle lånat något af det formella åskådningssätt, som i dessa frågor ofta göra sig gällande hos statsutskottet.</w:t>
        <w:br/>
        <w:br/>
        <w:t>Emellertid hade jag föreställt mig, att i en sådan fråga som denna Riksdagen visserligen icke i år kunnat bifalla motionen, men</w:t>
        <w:br/>
        <w:br/>
        <w:t>dock på sedvanligt sätt kunnat tillstyrka en skrifvelse till Kungl. Maj:t, under förutsättning naturligtvis att utskottet ansett att själfva saken vore rättvis. Men då jag nu för min del icke är i tillfälle att göra något yrkande, som kan komma under kammarens bedömande, hvilket för öfrigt varit lönlöst redan iföljd af Första kammarens afslag, så ber jag att få inskränka mig till att från denna plats för egen del få uttala, att jag vågar motse, att Kungl. Maj:t måtte taga i öfvervägande, i hvad mån och på hvad sätt tjänstemännen af lägre grad (bevakningspersonalen) vid fångvården böra skäligen beredas större pensionsförmåner än som enligt nu gällande bestämmelser i stat och pensionslag utgå till dem, samt för Riksdagen framlägga det förslag, hvartill detta öfvervägande kan föranleda.</w:t>
        <w:br/>
        <w:br/>
        <w:t>Det är ganska säkert, att bankoutskottet aldrig undgår att upptaga det krafvet till saklig behandling, ty det kommer nog igen hvarje riksdag, ända tills det lyckats.</w:t>
      </w:r>
    </w:p>
    <w:p>
      <w:pPr>
        <w:pStyle w:val="Heading2"/>
      </w:pPr>
      <w:r>
        <w:t>2. Ulrik Leander (Frisinnade folkpartiet, man)</w:t>
      </w:r>
    </w:p>
    <w:p>
      <w:r>
        <w:rPr>
          <w:b w:val="0"/>
        </w:rPr>
        <w:t xml:space="preserve">Herr vice talman, mina herrar! Jag skall be att få yttra några ord rörande min motion. Det talas ju om, att man icke får slå på känslosträngarna här i Riksdagen; men i alla fall tycker jag, att om något skulle varit ägnadt att beveka bankoutskottets hjärta, så är det den nödställda belägenhet, hvari denna konstapelsänka, Emma Lindholm, och </w:t>
      </w:r>
      <w:r>
        <w:rPr>
          <w:b/>
        </w:rPr>
        <w:t>hennes²</w:t>
      </w:r>
      <w:r>
        <w:rPr>
          <w:b w:val="0"/>
        </w:rPr>
        <w:t xml:space="preserve"> minderåriga barn befinna sig.</w:t>
        <w:br/>
        <w:br/>
        <w:t xml:space="preserve">Jag har kunnat visa, att mannen varit 1 statens tjänst i något öfver 28 år, och att denna </w:t>
      </w:r>
      <w:r>
        <w:rPr>
          <w:b/>
        </w:rPr>
        <w:t>änka²</w:t>
      </w:r>
      <w:r>
        <w:rPr>
          <w:b w:val="0"/>
        </w:rPr>
        <w:t xml:space="preserve"> är alldeles utfattig, enär bouppteckningen efter mannen utvisar, att skulderna betydligt öfverstiga tillgångarna. Jag har vidare med intyg styrkt, att denna </w:t>
      </w:r>
      <w:r>
        <w:rPr>
          <w:b/>
        </w:rPr>
        <w:t>änka²</w:t>
      </w:r>
      <w:r>
        <w:rPr>
          <w:b w:val="0"/>
        </w:rPr>
        <w:t xml:space="preserve"> är sjuklig och på grund däraf icke orkar utföra något mera ansträngande arbete, hvarmed </w:t>
      </w:r>
      <w:r>
        <w:rPr>
          <w:b/>
        </w:rPr>
        <w:t>hon²</w:t>
      </w:r>
      <w:r>
        <w:rPr>
          <w:b w:val="0"/>
        </w:rPr>
        <w:t xml:space="preserve"> skulle kunna försörja sig och sina minderåriga barn. Men bankoutskottet har i alla fall sagt nej.</w:t>
        <w:br/>
        <w:br/>
        <w:t>Utskottet har nu icke kunnat säga, att utredningen är ofullständig, men utskottet förmenar, att denna utredning hade bort verkställas genom vederbörande myndigheter. Det vill dock förefalla mig, som om en utredning skulle vara lika värdefull, äfven om den verkställts af en enskild motionär, som om den verkställts af vederbörande myndigheter.</w:t>
        <w:br/>
        <w:br/>
        <w:t xml:space="preserve">Att nu icke </w:t>
      </w:r>
      <w:r>
        <w:rPr>
          <w:b/>
        </w:rPr>
        <w:t>änkan²</w:t>
      </w:r>
      <w:r>
        <w:rPr>
          <w:b w:val="0"/>
        </w:rPr>
        <w:t xml:space="preserve"> Lindholms ansökan om pension kommit att gå den officiella vägen, är emellertid hvarken </w:t>
      </w:r>
      <w:r>
        <w:rPr>
          <w:b/>
        </w:rPr>
        <w:t>hennes²</w:t>
      </w:r>
      <w:r>
        <w:rPr>
          <w:b w:val="0"/>
        </w:rPr>
        <w:t xml:space="preserve"> eller min skuld. När mannen var död, vände </w:t>
      </w:r>
      <w:r>
        <w:rPr>
          <w:b/>
        </w:rPr>
        <w:t>hon²</w:t>
      </w:r>
      <w:r>
        <w:rPr>
          <w:b w:val="0"/>
        </w:rPr>
        <w:t xml:space="preserve"> sig till den, som under mannens lifstid varit dennes förman och anhöll med stöd af anskaffade erforderliga intyg, att denne ville åtaga sig saken och styra om, att </w:t>
      </w:r>
      <w:r>
        <w:rPr>
          <w:b/>
        </w:rPr>
        <w:t>hennes²</w:t>
      </w:r>
      <w:r>
        <w:rPr>
          <w:b w:val="0"/>
        </w:rPr>
        <w:t xml:space="preserve"> ansökan blefve afsänd. Detta kom dock icke att ske, utan försummades, och ansåg jag det då vara min plikt att med hänsyn till </w:t>
      </w:r>
      <w:r>
        <w:rPr>
          <w:b/>
        </w:rPr>
        <w:t>änkans²</w:t>
      </w:r>
      <w:r>
        <w:rPr>
          <w:b w:val="0"/>
        </w:rPr>
        <w:t xml:space="preserve"> svåra belägenhet väcka den motion, som nu föreligger.</w:t>
        <w:br/>
        <w:br/>
        <w:t xml:space="preserve">För egen del kan jag ju alltså ha den tillfredsställelsen, att jag gjort hvad jag kunnat, men </w:t>
      </w:r>
      <w:r>
        <w:rPr>
          <w:b/>
        </w:rPr>
        <w:t>änkan²</w:t>
      </w:r>
      <w:r>
        <w:rPr>
          <w:b w:val="0"/>
        </w:rPr>
        <w:t xml:space="preserve"> Lindholm är icke hjälpt därmed, om</w:t>
        <w:br/>
        <w:br/>
        <w:t>icke denna pension beviljas. Jag förstår nog, att utskottet måste speln V. hålla på vissa principer, men jag anser mig dock böra erinra om, Lindholms</w:t>
        <w:br/>
        <w:br/>
        <w:t xml:space="preserve">att äfven bankoutskottet kan afvika från de principer, som eljest tillämpas. Jag tillät mig äfven i fjol att väcka motion om pension åt en </w:t>
      </w:r>
      <w:r>
        <w:rPr>
          <w:b/>
        </w:rPr>
        <w:t>änka²</w:t>
      </w:r>
      <w:r>
        <w:rPr>
          <w:b w:val="0"/>
        </w:rPr>
        <w:t>, och en ärad ledamot af medkammaren väckte en liknande motion. Dessa båda motioner tillstyrktes af bankoutskottet, och biföllos sedermera af Riksdagen. Händelsen gjorde då, att den ärade ledamoten af Första kammaren var medlem af bankoutskottet. Jag vet visserligen icke, om detta i någon mån gjorde sitt till, men jag har velat framhålla detta för att visa, att bankoutskottet emellanåt kan göra afstickare från de vanliga principerna.</w:t>
        <w:br/>
        <w:br/>
        <w:t>Nu har jag emellertid från auktoritativt håll hört, att utskottets mening skulle varit åtminstone halft för bifall till min motion, och att utskottets ledamöter icke skulle sörja så synnerligen mycket, om Andra kammaren bifölle motionen.</w:t>
        <w:br/>
        <w:br/>
        <w:t>I den förhoppningen att så kommer att ske, vågar jag, herr vice talman, yrka afslag å utskottets hemställan och bifall till min nu föreliggande motion.</w:t>
      </w:r>
    </w:p>
    <w:p>
      <w:pPr>
        <w:pStyle w:val="Heading2"/>
      </w:pPr>
      <w:r>
        <w:t>3. Adolf Christiernson (–, man)</w:t>
      </w:r>
    </w:p>
    <w:p>
      <w:r>
        <w:rPr>
          <w:b w:val="0"/>
        </w:rPr>
        <w:t>Herr vice talman, mina herrar! Det är inte så värst trefligt att företräda bankoutskottet. Gäller det banksaker, måste man taga hänsyn, stor hänsyn, till fullmäktige, och gäller det pensionssaker måste man taga stor hänsyn till motionärerna. Och i det sista fallet kallas man hjärtlös, om man skulle ha en annan åsikt än motionärerna. Här har — och jag vill säga det nu — herr Lindhagen på en punkt, som redan för flera timmar sedan är afgjord, tillvitat utskottet, att det icke ingått på någon saklig behandling af frågan, utan försökt komma ifrån saken. Jag skall nu endast be att få säga det, att motionen var icke alls sakligt skrifven, utan om någon ändring skulle kunnat göras i saken, så måste motionen hafva skrifvits så, att den blifvit remitterad till statsutskottet, d. v. s. man skulle begärt en omreglering af löneförhållandena. Och jag får säga, att det synes väl starkt att flera timmar sedan saken redan är afgjord förebrå utskottet, att det ke varit sakligt. — Jag ber om ursäkt, för att jag tillåtit mig säga</w:t>
        <w:br/>
        <w:br/>
        <w:t xml:space="preserve">Hvad sedan själfva pensionsfrågan beträffar, i hvilken herr Leander har gjort ett yrkande om afslag på utskottets hemställan skall jag be att få meddela det, att </w:t>
      </w:r>
      <w:r>
        <w:rPr>
          <w:b/>
        </w:rPr>
        <w:t>änkan²</w:t>
      </w:r>
      <w:r>
        <w:rPr>
          <w:b w:val="0"/>
        </w:rPr>
        <w:t xml:space="preserve"> Lindholms man hade kunnat gå in 1 </w:t>
      </w:r>
      <w:r>
        <w:rPr>
          <w:b/>
        </w:rPr>
        <w:t>änkeoch²</w:t>
      </w:r>
      <w:r>
        <w:rPr>
          <w:b w:val="0"/>
        </w:rPr>
        <w:t xml:space="preserve"> pupillkassan, men icke begagnat sig af denna rättighet. När vi då sitta i utskottet och granska saken, kunna vi ju icke utan vidare gå med på att tillstyrka bifall till en</w:t>
        <w:br/>
        <w:br/>
        <w:t xml:space="preserve">dylik motion. Då skulle det ju kunna bli så, att här stiftar man pensionslagar och lagar om </w:t>
      </w:r>
      <w:r>
        <w:rPr>
          <w:b/>
        </w:rPr>
        <w:t>änkepensioner²</w:t>
      </w:r>
      <w:r>
        <w:rPr>
          <w:b w:val="0"/>
        </w:rPr>
        <w:t xml:space="preserve"> och sedan komma de, som icke rätta sig efter dessa lagar och få pension ändå genom Riksdagens nåd. Nu vill jag för min del icke hålla så starkt på, att motionen skall afslås, men jag vill säga det, att principiellt sedt finnes det icke någon möjlighet att bifalla motionen. Vill kammaren sedan göra det af andra skäl, är detta en sak för sig, men jag vill betona, att om det skulle gå i den riktningen, att man sedan för framtiden får höra detta fall åberopas som ett prejudikat, med stöd af hvilket man anser sig kunna yrka på pension i en hel del fall, så är utskottets ståndpunkt ytterst förklarlig.</w:t>
        <w:br/>
        <w:br/>
        <w:t xml:space="preserve">Nu kan det ju också invändas mot detta, att summan, 240 kronor, ju icke är så stor i och för sig — det skall jag för min del icke påstå, och det finnes väl heller ingen annan som påstår detta — men om man tänker på den ersättning, som t. ex. en </w:t>
      </w:r>
      <w:r>
        <w:rPr>
          <w:b/>
        </w:rPr>
        <w:t>änka²</w:t>
      </w:r>
      <w:r>
        <w:rPr>
          <w:b w:val="0"/>
        </w:rPr>
        <w:t xml:space="preserve"> efter en arbetare, som omkommit genom olycksfall i arbete, erhåller, så är den betydligt mindre än den summa, som denna </w:t>
      </w:r>
      <w:r>
        <w:rPr>
          <w:b/>
        </w:rPr>
        <w:t>änka²</w:t>
      </w:r>
      <w:r>
        <w:rPr>
          <w:b w:val="0"/>
        </w:rPr>
        <w:t xml:space="preserve"> skulle få. Det innebär ju också en viss orättvisa mot den personal, som tillhör kassan och som betalt sina afgifter, att deras efterlefvande icke få större ersättning. Jag vill ännu en gång upprepa det, rent sakligt sedt har utskottet alla skäl för sitt afslagsyrkande i denna punkt.</w:t>
      </w:r>
    </w:p>
    <w:p>
      <w:pPr>
        <w:pStyle w:val="Heading2"/>
      </w:pPr>
      <w:r>
        <w:t>4. Karl Starbäck (Lantmanna- och borgarepartiet inom andrakammaren, man)</w:t>
      </w:r>
    </w:p>
    <w:p>
      <w:r>
        <w:rPr>
          <w:b w:val="0"/>
        </w:rPr>
        <w:t xml:space="preserve">Herr vice talman, mina herrar! Jag skall inte länge taga kammarens uppmärksamhet i anspråk, men det förefaller mig som om man just vid denna punkt måste stanna ett ögonblick, för att se på de konsekvenser, som enligt min mening sannolikt skulle uppstå, om Andra kammaren också här bifaller utskottets hemställan. Utskottets hemställan lyder: »Då frågan om pension åt </w:t>
      </w:r>
      <w:r>
        <w:rPr>
          <w:b/>
        </w:rPr>
        <w:t>änkan²</w:t>
      </w:r>
      <w:r>
        <w:rPr>
          <w:b w:val="0"/>
        </w:rPr>
        <w:t xml:space="preserve"> Lindholm och </w:t>
      </w:r>
      <w:r>
        <w:rPr>
          <w:b/>
        </w:rPr>
        <w:t>hennes²</w:t>
      </w:r>
      <w:r>
        <w:rPr>
          <w:b w:val="0"/>
        </w:rPr>
        <w:t xml:space="preserve"> barn lämpligen borde göras till föremål för utredning af vederbörande myndigheter, innan förslag härom förelägges Riksdagen, hemställer utskottet», och så kommer klämmen, »att motionen II:9 icke må vinna Riksdagens bifall.&gt; Nu sade den föregående ärade talaren, att det fordras här, att man skall taga så stor hänsyn till de enskilda motionärerna. Nej, det tror jag ingen af motionärerna fordrar, möjligen att man under ärendets behandling i utskottet skulle ha rättighet att motse en eller annan liten fråga angående någon punkt, som måhända utskottets hårdt belastade tid icke tillåtit utskottet att taga reda på, men som motionären möjligen kunnat lämna upplysning om. Men nog förefaller det mig, och jag tror att jag härvidlag icke har någon annan uppfattning än öfriga motionärer på detta stora område — pensionsoch indragningsstaten — som om det är själfva sakfrågan, som man har en viss förhoppning, att utskottet skulle taga hänsyn till. Men utskottet säger endast, att frågan om pension lämpligen bort göras till föremål för utredning af vederbörande myndigheter. På hvilket sätt kan detta ske? Ja, svårligen genom</w:t>
        <w:br/>
        <w:br/>
        <w:t>enskilda motionärers åtgöranden. Men väl kan det ske genom Kungl. Maj:ts eller utskottets försorg.</w:t>
        <w:br/>
        <w:br/>
        <w:t xml:space="preserve">Det finnes sålunda för en människa i </w:t>
      </w:r>
      <w:r>
        <w:rPr>
          <w:b/>
        </w:rPr>
        <w:t>änkan²</w:t>
      </w:r>
      <w:r>
        <w:rPr>
          <w:b w:val="0"/>
        </w:rPr>
        <w:t xml:space="preserve"> Lindholms ställning två vägar att gå på. Den första vägen är att gå till Konungen och framlägga sina bekymmer och bedja, att vederbörande statsråd måtte för Riksdagen framlägga de bekymmer </w:t>
      </w:r>
      <w:r>
        <w:rPr>
          <w:b/>
        </w:rPr>
        <w:t>hon²</w:t>
      </w:r>
      <w:r>
        <w:rPr>
          <w:b w:val="0"/>
        </w:rPr>
        <w:t xml:space="preserve"> har och som skulle kunna ge anledning till en framställning. Men jag vill hemställa till herrarna: Är det verkligen så lätt för en stackars </w:t>
      </w:r>
      <w:r>
        <w:rPr>
          <w:b/>
        </w:rPr>
        <w:t>änka²</w:t>
      </w:r>
      <w:r>
        <w:rPr>
          <w:b w:val="0"/>
        </w:rPr>
        <w:t xml:space="preserve"> i denna sambhällsställning att finna vägen till Kungl. Maj:t? Det är inte sagdt, att </w:t>
      </w:r>
      <w:r>
        <w:rPr>
          <w:b/>
        </w:rPr>
        <w:t>hon²</w:t>
      </w:r>
      <w:r>
        <w:rPr>
          <w:b w:val="0"/>
        </w:rPr>
        <w:t xml:space="preserve"> i den stad, där </w:t>
      </w:r>
      <w:r>
        <w:rPr>
          <w:b/>
        </w:rPr>
        <w:t>hon²</w:t>
      </w:r>
      <w:r>
        <w:rPr>
          <w:b w:val="0"/>
        </w:rPr>
        <w:t xml:space="preserve"> bor, har en riksdagsman, som </w:t>
      </w:r>
      <w:r>
        <w:rPr>
          <w:b/>
        </w:rPr>
        <w:t>hon²</w:t>
      </w:r>
      <w:r>
        <w:rPr>
          <w:b w:val="0"/>
        </w:rPr>
        <w:t xml:space="preserve"> känner till och som </w:t>
      </w:r>
      <w:r>
        <w:rPr>
          <w:b/>
        </w:rPr>
        <w:t>hon²</w:t>
      </w:r>
      <w:r>
        <w:rPr>
          <w:b w:val="0"/>
        </w:rPr>
        <w:t xml:space="preserve"> vågar sig på och som kan föra fram </w:t>
      </w:r>
      <w:r>
        <w:rPr>
          <w:b/>
        </w:rPr>
        <w:t>hennes²</w:t>
      </w:r>
      <w:r>
        <w:rPr>
          <w:b w:val="0"/>
        </w:rPr>
        <w:t xml:space="preserve"> begäran till Kungl. Maj:t. Det är åtminstone icke något, som är absolut påtagligt. Det återstår då för </w:t>
      </w:r>
      <w:r>
        <w:rPr>
          <w:b/>
        </w:rPr>
        <w:t>henne²</w:t>
      </w:r>
      <w:r>
        <w:rPr>
          <w:b w:val="0"/>
        </w:rPr>
        <w:t xml:space="preserve"> att försöka gå den vägen att genom enskild motionär påkalla Riksdagens uppmärksamhet. </w:t>
      </w:r>
      <w:r>
        <w:rPr>
          <w:b/>
        </w:rPr>
        <w:t>Hon²</w:t>
      </w:r>
      <w:r>
        <w:rPr>
          <w:b w:val="0"/>
        </w:rPr>
        <w:t xml:space="preserve"> känner kanske någon, som i sin tur känner motionären, och så kommer på den ena eller andra vägen frågan om pension fram till Riksdagen. Men Riksdagens organ, utskottet, säger: Nej, det där hade bort göras till föremål för utredning af vederbörande myndigheter, och så glömmer utskottet fullständigt bort, att utskottet själft hade kunnat åstadkomma denna utredning, ty det få väl herrarna ändå medge, att inte är det så kollossalt stora utredningar här, att äfven om åtskilliga motioner föreligga bankoutskottet icke skulle kunna, låt vara med användande af $ 46 riksdagsordningen, få fram den utredning, som behöfves, för att få den föreliggande frågan, pensionen på 240 kronor åt en fattig </w:t>
      </w:r>
      <w:r>
        <w:rPr>
          <w:b/>
        </w:rPr>
        <w:t>änka²</w:t>
      </w:r>
      <w:r>
        <w:rPr>
          <w:b w:val="0"/>
        </w:rPr>
        <w:t>, i sådant ljus, att man kunde sagt till Kungl. Maj:t: Vi vilja icke på frågans nuvarande läge tillstyrka Riksdagen att bevilja denna pension, men vi anse dock sådana skäl föreligga, att en utredning af Kungl. Maj:t är af behofvet påkallad. Här säges icke något sådant, utan endast att bankoutskottet icke funnit någon anledning att själft verkställa den utredning, som utskottet kunnat göra. Det har enligt min mening införts en princip i bankoutskottets utlåtande, som medför ganska betänkliga konsekvenser.</w:t>
        <w:br/>
        <w:br/>
        <w:t>Jag förstår ju mycket väl efter den votering, som jag tillät mig besvära kammaren med på förmiddagen, att det icke finnes någon som helst utsikt för att vinna gehör för ett yrkande på återremiss, hvilket jag anser skulle vara det riktigaste och lämpligaste för att bankoutskottet skulle åstadkomma den utredning, hvarom här är fråga, men då jag finner det ganska omöjligt att få kammaren med mig på ett dylikt yrkande, har jag endast velat uttala mina betänkligheter inför dessa konsekvenser och har intet annat yrkande att göra än om bifall till motionen.</w:t>
      </w:r>
    </w:p>
    <w:p>
      <w:pPr>
        <w:pStyle w:val="Heading2"/>
      </w:pPr>
      <w:r>
        <w:t>5. Ulrik Leander (Frisinnade folkpartiet, man)</w:t>
      </w:r>
    </w:p>
    <w:p>
      <w:r>
        <w:rPr>
          <w:b w:val="0"/>
        </w:rPr>
        <w:t xml:space="preserve">Herr vice talman! Blott en kort upplysning. Den ärade utskottsledamoten, hvilken jag för öfrigt ber att på det hjärtligaste få tacka, för att han icke syntes hålla så starkt på utskottets hemställan, gjorde emellertid den anmärkningen, att mannen kunnat gå in i civilstatens </w:t>
      </w:r>
      <w:r>
        <w:rPr>
          <w:b/>
        </w:rPr>
        <w:t>änkeoch²</w:t>
      </w:r>
      <w:r>
        <w:rPr>
          <w:b w:val="0"/>
        </w:rPr>
        <w:t xml:space="preserve"> pupillkassa. — Saken förhåller sig emellertid på följande sätt.</w:t>
        <w:br/>
        <w:br/>
        <w:t xml:space="preserve">När mannen blef antagen till vaktkonstapel, ägde innehafvare af denna befattning rätt att välja, om han ville tillhöra denna kassa eller icke. Han blef också tillfrågad, om han ville det och anhöll då om några månaders betänketid. När han sedan kom tillbaka och förklarade, att han ville ansluta sig till kassan, fick han emellertid det svaret, att det var för sent, och sedan kom han aldrig in i kassan. Detta är anledningen till att </w:t>
      </w:r>
      <w:r>
        <w:rPr>
          <w:b/>
        </w:rPr>
        <w:t>änkan²</w:t>
      </w:r>
      <w:r>
        <w:rPr>
          <w:b w:val="0"/>
        </w:rPr>
        <w:t xml:space="preserve"> icke kan få pension från nämnda kassa.</w:t>
        <w:br/>
        <w:br/>
        <w:t>Hvad sedan angår den utredning, hvarom herr Starbäck, till hvilken jag äfven ber att få framföra mitt hjärtligaste tack för hans inlägg, har talat, så är den utredning, som nu förebragts, så fullständig, att ingen myndighet kunnat göra den mera fullständig än hvad den redan är. Jag ber därför att få vidhålla mitt yrkande.</w:t>
      </w:r>
    </w:p>
    <w:p>
      <w:pPr>
        <w:pStyle w:val="Heading2"/>
      </w:pPr>
      <w:r>
        <w:t>6. Conrad Vahlquist (Lantmanna- och borgarepartiet inom andrakammaren, man)</w:t>
      </w:r>
    </w:p>
    <w:p>
      <w:r>
        <w:rPr>
          <w:b w:val="0"/>
        </w:rPr>
        <w:t>Herr talman, mina herrar! För min del ser jag gärna, att staten bispringer de små, som behöfva understöd, när staten har skyldighet därtill.</w:t>
        <w:br/>
        <w:br/>
        <w:t xml:space="preserve">Hvad beträffar utskottets tal om utredning af vederbörande myndigheter innebär detta, att utskottet ansett, att fångvårdsstyrelsen bort vara den myndighet, som skulle tagit denna fråga om hand och framlagt den för Kungl. Maj:t. Enligt utskottets mening hade i föreliggande fall </w:t>
      </w:r>
      <w:r>
        <w:rPr>
          <w:b/>
        </w:rPr>
        <w:t>änkan²</w:t>
      </w:r>
      <w:r>
        <w:rPr>
          <w:b w:val="0"/>
        </w:rPr>
        <w:t xml:space="preserve"> bort tillrådts vända sig till veder-</w:t>
        <w:br/>
        <w:br/>
        <w:t>börande fängelsedirektör, som fört ärendet vidare till fångvårds-</w:t>
        <w:br/>
        <w:br/>
        <w:t>styrelsen, hvarifrån ärendet sedan kommit till Kungl. Maj:t. Mången motion beträffande dylika pensionsfrågor skulle helt säkert icke behöfva väckas, om man försökte gå den väg, jag nu gifvit antydan om.</w:t>
        <w:br/>
        <w:br/>
        <w:t>Det är således ingen motvilja mot att tillstyrka en liten pension, som förestafvat utskottets afslagsyrkande — jag tror, att utskottet gärna skulle ha tillstyrkt en sådan, om vederbörlig utredning funnits — men i detta fall finnas vederbörande, som ha skyldighet att se till, att deras underordnade få det understöd från staten, som behofvet kräfver och de gjort sig förtjänta af, och sålunda äfven bort göra framställning om pensionen. Denna väg hade enligt mitt förmenande varit den lämpligaste. Misslyckas den vägen, ja, då må gärna en enskild motionär taga frågan om hand, men jag kan icke finna, att så har varit fallet här.</w:t>
        <w:br/>
        <w:br/>
        <w:t>Herr talman, jag skall emellertid icke göra något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1177</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