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w:t>
      </w:r>
    </w:p>
    <w:p>
      <w:r>
        <w:rPr>
          <w:b/>
        </w:rPr>
        <w:t xml:space="preserve">Datum: </w:t>
      </w:r>
      <w:r>
        <w:t>1911-04-03</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Elof Lindström (Lantmanna- och borgarepartiet inom andrakammaren, man)</w:t>
      </w:r>
    </w:p>
    <w:p>
      <w:r>
        <w:rPr>
          <w:b w:val="0"/>
        </w:rPr>
        <w:t>Jag ber att få meddela att inom kort en kungl. proposition torde vara att förvänta angående ny stat för folkskollärarnas pensionsinrättning. Genomförandet af den ifrågasatta nya staten skulle erfordra en höjning af det i den här punkten omförmälda anslaget: bidrag till pensionering af änkor och barn efter lärare vid allmänna läroverk, pedagogier, seminarier m. m. med 3,000 kronor. Jag får därför uttala önskvärdheten af att detta anslagsbelopp</w:t>
        <w:br/>
        <w:br/>
        <w:t xml:space="preserve">icke måtte nu af kammaren fixeras utan att därmed måtte anstå till Ang. ombilddess den af mig omförmälda, förväntade propositionen blir af Riks- ,., "ng af dagen pröfvad lärarnes vid . elementar- . . läroverken Friherre von Schwerin: På grund af den upplysning, herr </w:t>
      </w:r>
      <w:r>
        <w:rPr>
          <w:b/>
        </w:rPr>
        <w:t>änkeoch²</w:t>
      </w:r>
      <w:r>
        <w:rPr>
          <w:b w:val="0"/>
        </w:rPr>
        <w:t xml:space="preserve"> statsrådet och chefen för ecklesiastikdepartementet nu lämnat, an- Pupillkassa. håller jag, att kammaren måtte återremittera den förevarande 10. (Forts.)</w:t>
      </w:r>
    </w:p>
    <w:p>
      <w:pPr>
        <w:pStyle w:val="Heading2"/>
      </w:pPr>
      <w:r>
        <w:t>2. Johan Fredrik Nyström (Första kammarens nationella parti, man)</w:t>
      </w:r>
    </w:p>
    <w:p>
      <w:r>
        <w:rPr>
          <w:b w:val="0"/>
        </w:rPr>
        <w:t>Jag har begärt ordet icke för att göra något annat yrkande än det utskottet kommit till, utan endast för att bedja herrarna fästa sin uppmärksamhet på ett) mycket egendomligt och sorgligt förhållande. Det gäller här en gammal lärare, nu 64 år gammal och således pensionsmässig år 1912, som är i det egendomliga predikament, att hela hans pension kommer att belöpa sig till 680 kronor, en summa, som kanske är för stor att svälta ihjäl på, men alldeles bestämdt för liten att lefva på. Att han befinner sig i denna ställning, beror på, att han varit utsatt för flera olyckliga tillfälligheter, som resulterat i detta förhållande. Han började sina studier vid framskridna år, måste själf förskaffa sig sitt uppehälle under studietiden, blef sålunda sent färdig med sina studier, men dref dock dessa så långt, att han aflade dimissionsexamen, filosofie kandidatoch licentiatexamina samt disputerade pro gradu och således vann all den kompetens som behöfves för lärarbefattningar vid de allmänna läroverken, hvarjämte han äfven genomgått profår. Allt detta tog tid, i synnerhet då det gällde att samtidigt uppehålla sig med sitt arbete. Under 19 år tjänstgjorde han och måste tjänstgöra vid Fjellstedtska skolan i Uppsala, och när han sedan sent omsider fick ordinarie statstjänst var det först år 1902, och endast från detta år får han räkna tjänstetid, som berättigar till pension. Utskottet säger ju, att privat tjänstgöring icke får räknas in, då det gäller pensionering för statstjänst, men å andra sidan vill jag erinra om, att Riksdagen i vissa andra liknande fall låtit nåd gå för rätt. I år föreligger en kungl. proposition, nr 130, som föreslår att gifva en lärare, som varit denne mans kollega vid Fjellstedtska skolan, en ungefär likartad för-</w:t>
        <w:br/>
        <w:br/>
        <w:t>mån genom uppflyttning i högre lönegrad än hans stricte skulle hafva rätt till. Och i denna proposition liksom äfven i här föreliggande motion hänvisas till andra fall, där Riksdagen, såsom jag nyss nämnde, låtit nåd gå för rätt. Jag vet, att detta nu föreliggande fall äfven tagits i betraktande af departementschefen; det är ju möjligt, att han till nästa riksdag kommer med något förslag till afhjälpande af den alldeles påtagliga hårdhet, som lagens strikta tillämpning här alstrat. Jag har velat säga dessa ord endast för att, såvidt på mig ankommer, uttala, att jag med synnerligt nöje skulle se en sådan åtgärd från regeringens sida, och jag tror mig veta, att denna åsikt äfven delas af bankoutskottet, ehuru detta i år icke haft möjlighet att komma med annat förslag än det, som här föreligger.</w:t>
      </w:r>
    </w:p>
    <w:p>
      <w:pPr>
        <w:pStyle w:val="Heading2"/>
      </w:pPr>
      <w:r>
        <w:t>3. Oskar Eklund (Liberala samlingspartiet, man)</w:t>
      </w:r>
    </w:p>
    <w:p>
      <w:r>
        <w:rPr>
          <w:b w:val="0"/>
        </w:rPr>
        <w:t>Vid denna punkt i utskottsbetänkandet har jag låtit anteckna min reservation och anhåller i korthet att få framföra de skäl, som för mig varit afgörande att gent emot utskottet yrka afslag på Kungl. Maj:ts framställning.</w:t>
        <w:br/>
        <w:br/>
        <w:t xml:space="preserve">Af statsrådsprotokollet framgår, att behållningen i aflidne generalkonsul Bagges bo bestod af en kapitaltillgång af icke mindre än 57,490 kronor, hvartill kommer värdet af lösörena. Att märka är, att uppgiften om denna kapitaltillgång icke är baserad på verkställd bouppteckning utan härledes endast från ett meddelande af den pensionssökande. När en så pass afsevärd kapitaltillgång finnes i boet, har det åtminstone för mig varit klart, att verkligt behof att bevilja </w:t>
      </w:r>
      <w:r>
        <w:rPr>
          <w:b/>
        </w:rPr>
        <w:t>änkepension²</w:t>
      </w:r>
      <w:r>
        <w:rPr>
          <w:b w:val="0"/>
        </w:rPr>
        <w:t xml:space="preserve"> i detta fall näppeligen föreligger.</w:t>
        <w:br/>
        <w:br/>
        <w:t xml:space="preserve">Vidare framgår af statsrådsprotokollet, att generalkonsul Bagge i lifstiden kunnat ingå och vinna delägarskap i civilstatens </w:t>
      </w:r>
      <w:r>
        <w:rPr>
          <w:b/>
        </w:rPr>
        <w:t>änkeoch²</w:t>
      </w:r>
      <w:r>
        <w:rPr>
          <w:b w:val="0"/>
        </w:rPr>
        <w:t xml:space="preserve"> pupillkassa, visserligen mot en afsevärd afgift, något mer än 5,000 kronor, men att han uraktlåtit att göra detta, ehuru, såsom vi se, tillgångar visst icke saknades för inträde i nämnda kassa. Det förefaller mig då hvarken rimligt eller rättvist, att staten på något sätt skulle göra uppoffringar, därför att han uraktlåtit att vinna delägarskap</w:t>
        <w:br/>
        <w:br/>
        <w:t xml:space="preserve">i nämnda inrättning, i hvilket fall han hade tillförsäkrat </w:t>
      </w:r>
      <w:r>
        <w:rPr>
          <w:b/>
        </w:rPr>
        <w:t>änka²</w:t>
      </w:r>
      <w:r>
        <w:rPr>
          <w:b w:val="0"/>
        </w:rPr>
        <w:t xml:space="preserve"> och Ang. pension barn en rätt afsevärd årlig inkomst. KG generat</w:t>
        <w:br/>
        <w:br/>
        <w:t xml:space="preserve">Men framför allt på grund af, att här finnes en så pass afsevärdt Bagges </w:t>
      </w:r>
      <w:r>
        <w:rPr>
          <w:b/>
        </w:rPr>
        <w:t>änka²</w:t>
      </w:r>
      <w:r>
        <w:rPr>
          <w:b w:val="0"/>
        </w:rPr>
        <w:t>. stor kapitaltillgång som 57,490 kronor, har jag för min del liksom = (Forts.) reservanten från Andra kammaren ansett verkligt skäl icke föreligga för pensions beviljande.</w:t>
        <w:br/>
        <w:br/>
        <w:t>Bankoutskottet har, såsom vi se af dess betänkande, i många fall, äfven där nöden står för dörren, afstyrkt framställningar om pensioner, och utskottet har gifvit många skäl för detta, bland annat det, att Riksdagen bör vara ytterst försiktig då det gäller beviljande af pensioner. Vid sådant förhållande och då i detta speciella fall, åtminstone såvidt jag kan se, faktiskt icke något behof föreligger för att från statens sida pension skulle beviljas, ber jag, herr talman, att få yrka afslag på utskottets hemställan.</w:t>
      </w:r>
    </w:p>
    <w:p>
      <w:pPr>
        <w:pStyle w:val="Heading2"/>
      </w:pPr>
      <w:r>
        <w:t>4. Werner von Schwerin (Första kammarens moderata parti, man)</w:t>
      </w:r>
    </w:p>
    <w:p>
      <w:r>
        <w:rPr>
          <w:b w:val="0"/>
        </w:rPr>
        <w:t xml:space="preserve">I korthet vill jag utan att nämna speciella skäl framhålla, att man dock bör taga hänsyn till, att det här gäller ett undantagsförhållande; det är sista gången något sådant kan förekomma. Såsom herrarna veta, äro innehafvare af dessa anställningar numera skyldiga att ingå i civilstatens </w:t>
      </w:r>
      <w:r>
        <w:rPr>
          <w:b/>
        </w:rPr>
        <w:t>änkeoch²</w:t>
      </w:r>
      <w:r>
        <w:rPr>
          <w:b w:val="0"/>
        </w:rPr>
        <w:t xml:space="preserve"> pensionskassa. Ifrågavarande tjänsteman var icke skyldig att göra det, men kunde hafva kommit in mot erläggande af en, såsom föregående ärade talare erkände, jämförelsevis dryg afgift. ”Tillika bör man erinra sig, att denne man skötte sin tjänst plikttroget och väl; jag tror man till och med kan säga att han dog på sin post. Klimatet, som råder på den ort, där han tjänstgjorde, är hårdt och det är mycket troligt, fast det icke visats, att han på grund af ringa aflöning och dryga lefnadskostnader måst sätta till af sitt eget kapital, men det är ju icke meningen, att tjänstemän skola göra detta. Man bör taga detta i betraktande samt besinna att här är fråga om ett undantagsförhållande, som nu sista gången förekommer. Under förhoppning att kammaren behjärtar dessa förhållanden och beviljar pensionen, ber jag få yrka bifall till utskottets hemställan.</w:t>
      </w:r>
    </w:p>
    <w:p>
      <w:pPr>
        <w:pStyle w:val="Heading2"/>
      </w:pPr>
      <w:r>
        <w:t>5. Jacob Larsson (Liberala samlingspartiet, man)</w:t>
      </w:r>
    </w:p>
    <w:p>
      <w:r>
        <w:rPr>
          <w:b w:val="0"/>
        </w:rPr>
        <w:t xml:space="preserve">Såsom utskottets ärade ordförande pår pekade, lär det vara sista gången ett sådant fall som detta kan inträffa, men då man jämför den nu föredragna punkten med den näst föregående i utskottsbetänkandet, undrar jag, om man bör låta locka sig af skälet, att hvad här föreslås icke kan upprepas, till att bifalla utskottets hemställan. I näst föregående punkt talas också om en man, som dog på sin post, en man, som för öfrigt i afseende på rätt att vinna inträde i civilstatens </w:t>
      </w:r>
      <w:r>
        <w:rPr>
          <w:b/>
        </w:rPr>
        <w:t>änkeoch²</w:t>
      </w:r>
      <w:r>
        <w:rPr>
          <w:b w:val="0"/>
        </w:rPr>
        <w:t xml:space="preserve"> pupillkassa intog alldeles samma ställning som aflidne generalkonsul Bagge. Men där gällde det ett litet, fullkomligt utfattigt bo med ett par minderåriga barn; där har utskottet afstyrkt väckt motion om beviljande åt </w:t>
      </w:r>
      <w:r>
        <w:rPr>
          <w:b/>
        </w:rPr>
        <w:t>änkan²</w:t>
      </w:r>
      <w:r>
        <w:rPr>
          <w:b w:val="0"/>
        </w:rPr>
        <w:t xml:space="preserve"> och </w:t>
      </w:r>
      <w:r>
        <w:rPr>
          <w:b/>
        </w:rPr>
        <w:t>hennes²</w:t>
      </w:r>
      <w:r>
        <w:rPr>
          <w:b w:val="0"/>
        </w:rPr>
        <w:t xml:space="preserve"> barn af ett årligt understöd. Mot bakgrunden af näst föregående punkt måste jag således instämma med herr Eklund.</w:t>
      </w:r>
    </w:p>
    <w:p>
      <w:pPr>
        <w:pStyle w:val="Heading2"/>
      </w:pPr>
      <w:r>
        <w:t>6. Oskar Eklund (Liberala samlingspartiet, man)</w:t>
      </w:r>
    </w:p>
    <w:p>
      <w:r>
        <w:rPr>
          <w:b w:val="0"/>
        </w:rPr>
        <w:t>Ett bifall till bankoutskottets och Kungl. Maj:ts förslag i denna del skulle ju kunna anses innebära en förklaring ifrån</w:t>
        <w:br/>
        <w:br/>
      </w:r>
      <w:r>
        <w:rPr>
          <w:b/>
        </w:rPr>
        <w:t>änka²</w:t>
      </w:r>
      <w:r>
        <w:rPr>
          <w:b w:val="0"/>
        </w:rPr>
        <w:t xml:space="preserve">, som här är i fråga, kan disponera, icke skulle vara tillräcklig för en efterlefvande </w:t>
      </w:r>
      <w:r>
        <w:rPr>
          <w:b/>
        </w:rPr>
        <w:t>änka²</w:t>
      </w:r>
      <w:r>
        <w:rPr>
          <w:b w:val="0"/>
        </w:rPr>
        <w:t xml:space="preserve"> med barn att uppehålla sig på. Detta innebär synes det mig, farliga konsekvenser, och kan i framtiden åberopas: för att i likartade fall, när så pass afsevärdt hög inkomst som nyssnämnda förefinnes, pension likväl skulle beviljas.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