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1195</w:t>
      </w:r>
    </w:p>
    <w:p>
      <w:r>
        <w:rPr>
          <w:b/>
        </w:rPr>
        <w:t xml:space="preserve">Datum: </w:t>
      </w:r>
      <w:r>
        <w:t>1911-05-20</w:t>
      </w:r>
    </w:p>
    <w:p>
      <w:r>
        <w:rPr>
          <w:b/>
        </w:rPr>
        <w:t xml:space="preserve">Kammare: </w:t>
      </w:r>
      <w:r>
        <w:t>Andra kammaren</w:t>
      </w:r>
    </w:p>
    <w:p>
      <w:r>
        <w:rPr>
          <w:b/>
        </w:rPr>
        <w:t xml:space="preserve">Antal yttranden: </w:t>
      </w:r>
      <w:r>
        <w:t>5</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Conrad Vahlquist (Lantmanna- och borgarepartiet inom andrakammaren, man)</w:t>
      </w:r>
    </w:p>
    <w:p>
      <w:r>
        <w:rPr>
          <w:b w:val="0"/>
        </w:rPr>
        <w:t>Jag kan icke neka till, att det inom utskottet förefanns sympatier för den af herr Ström afgifna motionen; men det är ju helt naturligt, att utskottet dock icke kunnat våga sig på att tillstyrka ett bifall till hans förslag, då, såsom utskottet framhållit, utredning saknas i frågan. Man visste icke 1 någon mån, hvilket belopp den af motionären föreslagna anordningen skulle kräfva. Man måste ju för öfrigt tänka på, att det finnes äfven andra läkare, som aflönas enskildt, men som kanske vore lika berättigade som en del extra provinsialläkare i nu förevarande afseende, nämligen municipaloch köpingsläkare, hvilka ju ungefär ha samma åliggande som en extra provinsialläkare, och kanske äfven stadsläkare. Man har nu tänkt, att det kunde vara lämpligt — åtminstone har det varit min uppfattning — att denna fråga utredes i sammanhang med frågan om stadsläkarnas, municipaloch köpingsläkarnas pensionering. Såsom vi finna af den kungl. propositionen, sid. 9, har frågan om stadsläkarnas pensionering redan gjorts till föremål för utredning och ligger för närvarande till yttrande hos stadsförbundets styrelse här i Stockholm. Jag menar således, att det vore lämpligt, att frågan i hela dess vidd blefve utredd. Att för närvarande bifalla motionen torde möta vissa svårigheter, då man, som sagdt, icke det ringaste vet, hvilket belopp som staten i sådant fall finge utgifva. Det må emellertid vara stort eller litet, så är det väl</w:t>
        <w:br/>
        <w:br/>
        <w:t>i alla fall icke lämpligt att utan någon utredning, som verkligen visar, hvilket detta belopp är, nu bifalla motionen.</w:t>
        <w:br/>
        <w:br/>
        <w:t>Jag ber alltså, herr talman, att få yrka bifall till utskottets hemställan äfven i denna del.</w:t>
        <w:br/>
        <w:br/>
        <w:t>Öfverläggningen var härmed afslutad.</w:t>
        <w:br/>
        <w:br/>
        <w:t xml:space="preserve">I samband härmed upptog utskottet i förevarande utlåtande ånyo Kungl. Maj:ts i statsverkspropositionen under tionde hufvudtiteln framlagda förslag till ombildning af lärarnes vid elementarläroverken </w:t>
      </w:r>
      <w:r>
        <w:rPr>
          <w:b/>
        </w:rPr>
        <w:t>änkeoch²</w:t>
      </w:r>
      <w:r>
        <w:rPr>
          <w:b w:val="0"/>
        </w:rPr>
        <w:t xml:space="preserve"> pupillkassa, däröfver utskottet tidigare yttrat sig i den till utskottet återremitterade tionde punkten af utskottets utlåtande nr 18.</w:t>
        <w:br/>
        <w:br/>
        <w:t>skulle vara pliktig att underkasta sig förberörda villkor och bestämmelser, än äfven att de förutvarande innehafvare af dylika befattningar hos pensionsinrättningen, hvilka icke före viss angifven tidpunkt anmälde, att de ville underkasta sig den nya aflöningsstaten samt nämnda villkor och bestämmelser, och som icke lagligen kunde därtill förbindas, skulle varda bibehållna vid dem dittills tillkommande aflöningsförmåner äfvensom vid den rätt till pension, som dittills tillkommit dem;</w:t>
      </w:r>
    </w:p>
    <w:p>
      <w:pPr>
        <w:pStyle w:val="Heading2"/>
      </w:pPr>
      <w:r>
        <w:t>2. Carl Persson (Lantmanna- och borgarepartiet inom andrakammaren, man)</w:t>
      </w:r>
    </w:p>
    <w:p>
      <w:r>
        <w:rPr>
          <w:b w:val="0"/>
        </w:rPr>
        <w:t>Herr talman! Den nu föredragna punkten, punkt 1, återfinnes å tionde hufvudtiteln. Då bankoutskottets utlåtande angående nämnda hufvudtitel här föredrogs, blef denna punkt återremitterad. Såsom man ser af ifrågavarande utlåtande, hade utskottet i den punkten ingen erinran att göra, och när den nu återkommer, är det därför naturligt, att den icke blifvit ytterligare pröfvad af utskottet. Utskottet säger ju också här, att utskottet vid granskning af Kungl. Maj:ts förevarande förslag icke funnit anledning till någon erinran utan hänvisar utskottet till sitt förut afgifna utlåtande i saken. Jag ber emellertid att få säga, att för den händelse denna fråga, såsom det var förut, kommit under statsutskottets behandling, är det möjligt, att anmärkning mot denna första punkt hade framkommit. Af utlåtandet angående tionde hufvudtiteln finner man en reservant i denna punkt nämligen herr Christiernson, och således har icke heller inom bankoutskottet full enighet rådt i detta fall. |</w:t>
        <w:br/>
        <w:br/>
        <w:t xml:space="preserve">Såsom vi erinra oss från de tillfällen, när denna fråga förut här varit före i Riksdagen, har den fallit icke mindre än två gånger, och jag tror för min del, att den icke ännu är så utredd, att Riksdagen skall vara villig att godkänna detta förslag, sådant det nu föreligger. Här gäller det ju, att staten skall, så att säga, köpa elementarlärarnas s. k. tjänstårsrätt, och köpeskillingen skall tillfalla elementarlärarnas </w:t>
      </w:r>
      <w:r>
        <w:rPr>
          <w:b/>
        </w:rPr>
        <w:t>änkeoch²</w:t>
      </w:r>
      <w:r>
        <w:rPr>
          <w:b w:val="0"/>
        </w:rPr>
        <w:t xml:space="preserve"> pupillkassa. Det tyckes mig vara litet betänkligt att på detta sätt ingå en affär med elementarlärarnas </w:t>
      </w:r>
      <w:r>
        <w:rPr>
          <w:b/>
        </w:rPr>
        <w:t>änkeoch²</w:t>
      </w:r>
      <w:r>
        <w:rPr>
          <w:b w:val="0"/>
        </w:rPr>
        <w:t xml:space="preserve"> pupillkassa. Jag vill visst icke förneka, att denna tjänstårsrätt, som ju grundar sig på prästerskapets privilegier, borde upphöra, ty det är ju icke på något område så mycket kvar af de gamla privilegierna. Riksdagen beslutade ju i fjol att afskaffa</w:t>
        <w:br/>
        <w:br/>
        <w:t>prästerskapets privilegier i sammanhang med den då genomförda löneregleringen för prästerskapet, men man hörde icke då talas om någon köpeskilling, utan man reglerade lönerna med hänsyn till de föreliggande förhållandena så att vederbörande tjänstinnehafvare skulle få en lön, som motsvarade tidens kraf. Jag tror nu, att denna fråga angående upphäfvandet af det privilegium, som det här rör sig om, gärna kunde få anstå till dess frågan om elementarlärarnas lönereglering ånyo framkommer, ty det lär väl icke dröja länge, förr än förslag om ändring 1 nämnda lönestat kommer att föreläggas i Riksdagen. Något förslag i sådan riktning ligger emellertid icke nu före, hvarför man icke kan åberopa denna omständighet som ett starkt skäl för afslag å det nu föreliggande förslaget.</w:t>
        <w:br/>
        <w:br/>
        <w:t xml:space="preserve">Här är det nu i alla fall fråga om att förbättra denna </w:t>
      </w:r>
      <w:r>
        <w:rPr>
          <w:b/>
        </w:rPr>
        <w:t>änkeoch²</w:t>
      </w:r>
      <w:r>
        <w:rPr>
          <w:b w:val="0"/>
        </w:rPr>
        <w:t xml:space="preserve"> pupillkassas ställning, och detta genom att staten framdeles skulle årligen gifva kassan ett bidrag å "26, 389 kronor. Det är härvid att märka, att det gäller en kassa, som väl är en bland de allra mest gynnade kassor af detta slag, och det erkännes också i statsrådsprotokollet, att denna kassa är gynnad framför många andra liknande. Nu är det meningen, att tack vare kassans sålunda förbättrade ställning höja de därifrån utgående pensionsbeloppen. Statsutskottet har på sin tid sagt sig ingenting ha emot en dylik höjning, då väl pensionerna i alla händelser ej skola bli för högt tilltagna, men det är att märka att nämnda utskott gjorde ett sådant uttalande och Riksdagen godkänt detsamma under förutsättning, att statsverket icke skulle behöfva betungas med nya utgifter i och för denna sak, och jag vågar påstå, att det är väl ingen än 1 dag, som icke vill stå för den satsen. Frågan här gäller blott, om statsverket skall få vidkännas en ökad utgift, för att denna kassas pensionärer skola blifva bättre gynnade än nästan alla andra </w:t>
      </w:r>
      <w:r>
        <w:rPr>
          <w:b/>
        </w:rPr>
        <w:t>änkeoch²</w:t>
      </w:r>
      <w:r>
        <w:rPr>
          <w:b w:val="0"/>
        </w:rPr>
        <w:t xml:space="preserve"> pupillkassors pensionärer. Om man ser efter, hur det ställer sig vid civilstatens pensionsinrättning, som väl får anses vara den modernaste och nyaste af detta slag, såsom varande den senast reglerade, finner man, att pensionerna där icke äro så höga, som de skulle blifva i nu förevarande fall efter den ombildning af nu ifrågavarande kassa, som här föreslagits, men det oaktadt få de till civilstatens pensionsinrättning hörande tjänstemännen betala betydligt högre afgifter till sin </w:t>
      </w:r>
      <w:r>
        <w:rPr>
          <w:b/>
        </w:rPr>
        <w:t>änkeoch²</w:t>
      </w:r>
      <w:r>
        <w:rPr>
          <w:b w:val="0"/>
        </w:rPr>
        <w:t xml:space="preserve"> pupillkassa, än hvad de elementarlärare, som ha delaktighet i dessa lärares </w:t>
      </w:r>
      <w:r>
        <w:rPr>
          <w:b/>
        </w:rPr>
        <w:t>änkeoch²</w:t>
      </w:r>
      <w:r>
        <w:rPr>
          <w:b w:val="0"/>
        </w:rPr>
        <w:t xml:space="preserve"> pupillkassa, behöfva göra enligt de nya grunderna. När det ställer sig på det sättet, kan det då</w:t>
        <w:br/>
        <w:br/>
        <w:t>vara skäl i att statsverket åtager sig att utbetala ett så stort bidrag till sistnämnda kassa, som här är ifrågasatt?</w:t>
        <w:br/>
        <w:br/>
        <w:t>Denna fråga har, som sagdt, ju ett par gånger förut varit föremål för Riksdag gens pröfning. Första gången den var före begärdes ett mycket stort belopp, andra gången hade det nedsatts rätt betydligt, och nu, när det för tredje gången kommer åter, då stannar man vid detta belopp å 26,889 kronor Jämte det belopp, som omnämnes i punkt 2, eller 3, 000 kronor, det anser man nu vara tillräckligt för att reda upp affärerna. När man således det ena året afslår vad som då begäres, minskar man till det andra året ansprå-</w:t>
        <w:br/>
        <w:br/>
        <w:t xml:space="preserve">ken med icke mindre än 35,000 kronor. Detta visar ju, att Riksdagen hade rätt i sin uppfattning, när den första gången afslog det då framlagda förslaget — det har med tydliga och klara ord erkänts i den kungl. propositionen. Om man ser till, huru det förhåller sig med andra </w:t>
      </w:r>
      <w:r>
        <w:rPr>
          <w:b/>
        </w:rPr>
        <w:t>änkeoch²</w:t>
      </w:r>
      <w:r>
        <w:rPr>
          <w:b w:val="0"/>
        </w:rPr>
        <w:t xml:space="preserve"> pupillkassor, så befinnes, att till t. ex. telegrafverkets </w:t>
      </w:r>
      <w:r>
        <w:rPr>
          <w:b/>
        </w:rPr>
        <w:t>änkeoch²</w:t>
      </w:r>
      <w:r>
        <w:rPr>
          <w:b w:val="0"/>
        </w:rPr>
        <w:t xml:space="preserve"> pupillkassa bidrager staten med 28,000 kronor — siffrorna äro hämtade ur statsrevisorernas berättelse — medan delägarnas afgifter belöpa sig till 60,000 kronor i rundt tal; till folkskollärarnas </w:t>
      </w:r>
      <w:r>
        <w:rPr>
          <w:b/>
        </w:rPr>
        <w:t>änkeoch²</w:t>
      </w:r>
      <w:r>
        <w:rPr>
          <w:b w:val="0"/>
        </w:rPr>
        <w:t xml:space="preserve"> pupillkassa lämnar staten ett bidrag å 72,000 kronor medan delägarnas tillskott uppgår till 286,000 kronor och hvad vidare civilstatens </w:t>
      </w:r>
      <w:r>
        <w:rPr>
          <w:b/>
        </w:rPr>
        <w:t>änkeoch²</w:t>
      </w:r>
      <w:r>
        <w:rPr>
          <w:b w:val="0"/>
        </w:rPr>
        <w:t xml:space="preserve"> pupillkassa beträffar, utgör statens bidrag till denna 35,000 kronor, under det att delägarnas afgifter uppgå till sammanlagdt 650,000 kronor. Så ställer det sig för dessa </w:t>
      </w:r>
      <w:r>
        <w:rPr>
          <w:b/>
        </w:rPr>
        <w:t>änkeoch²</w:t>
      </w:r>
      <w:r>
        <w:rPr>
          <w:b w:val="0"/>
        </w:rPr>
        <w:t xml:space="preserve"> pupillkassor. Huru ställer det sig då i detta fall? Jo, staten har förut här lämmat ett bidrag 116,009 kronor, under det att delägarna betalat 104,000 kronor, och nu skulle staten betala än ytterligare hvad som nu begäres.</w:t>
        <w:br/>
        <w:br/>
        <w:t xml:space="preserve">Jag anser, såsom jag också nyss nämnde, att med denna köpeaffär beträffande tjänstårsrätten borde ha anstått, till dess att den lönereglering för elementarlärarna, som är att vänta, hade förelagts Riksdagen. Då emellertid frågan undan för undan återkommer och Kungl. Maj:t och vederbörande icke släppa Riksdagen, förrän den på något sätt gifvit efter härvidlag, skall jag, för att undvika att frågan ytterligare återkommer, nu gå med på att Riksdagen anslår 22,300 kronor för denna sak. I bankoutskottets utlåtande nr 18 angående tionde hufvudtiteln har å sidan 21 en uträkning blifvit gjord rörande hvad staten skulle betala, för att få elementarlärarnas tjänstårsrätt upphäfd, och man har där kommit till, att en årlig utbetalning af 22.300 kronor blir just den summa, som i detta fall är den rätta. Man är emellertid nu icke belåten med denna summa, utan det heter, att utom elementarlärarna, som rätteligen borde ensamma få denna köpeskilling å 22,300 sig till godo, finnes det åtskilliga andra delägare i dessa lärares </w:t>
      </w:r>
      <w:r>
        <w:rPr>
          <w:b/>
        </w:rPr>
        <w:t>änkeoch²</w:t>
      </w:r>
      <w:r>
        <w:rPr>
          <w:b w:val="0"/>
        </w:rPr>
        <w:t xml:space="preserve"> pupillkassa, nämligen öfningslärarna, hvilkas änkor och barn på detta sätt också skulle få en något förhöjd pension genom att den högre köpeskillingen lades till kassan. Men för dessa öfningslärares rätt till högre pension för änkor och barn ur elementarlärarnas </w:t>
      </w:r>
      <w:r>
        <w:rPr>
          <w:b/>
        </w:rPr>
        <w:t>änkeoch²</w:t>
      </w:r>
      <w:r>
        <w:rPr>
          <w:b w:val="0"/>
        </w:rPr>
        <w:t xml:space="preserve"> pupillkassa skulle nu staten lämna ett större bidrag till kassan, då ju dessa änkors och barns rätt till högre pension icke härflyter af den köpeskilling, staten erlagt för att få den genom privilegier elementarlärarna tillerkända tjänstårsrätten upphäfd. Jag tycker verkligen, att det är högst orimligt att statsverket skulle behöfva utbetala 4,589 kronor endast för att änkor och barn efter öfningslärare, som redan förut äro delägare i pensionskassan, skulle få en något högre pension. Därför att nyssnämnda köpeskilling ingår till kassan, skall staten för dessa öfningslärare betala ut ytterligare ett så stort belopp som det nyss nämnda: det förefaller mig gå väl långt. Sålunda skall jag i denna fråga i alla fall gå så långt i medgifvande, att jag skall vara med om, att dessa privilegier skola på nämnda sätt afskaffas. Fast man ju ogärna</w:t>
        <w:br/>
        <w:br/>
        <w:t>vill betala en köpeskilling därför, skall jag vara med om att höja detta anslag med 22,320 kronor, för att tjänstårsrätten må försvinna. I enlighet härmed skulle den sista meningen i punkt 1:0) lyda: »höja det såsom bidrag till pensionering af änkor och barn efter lärare vid allmänna läroverk, pedagogier, seminarier m. m. uppförda anslaget med 22.320 kronor», i stället för som nu stär 26,889 kronor.</w:t>
        <w:br/>
        <w:br/>
        <w:t>Jag tror, att Riksdagen genom detta i alla fall visat sig så generös, och det i en sådan fråga som denna, att de, som äro delägare i denna kassa, borde känna sig fullt tillfredsställda med ett sådant anslag.</w:t>
        <w:br/>
        <w:br/>
        <w:t xml:space="preserve">Det är också att märka, om man ser efter huru det ställer sig med beräkningen — det är väl icke värdt för en lekman att tvista med matematikerna, ty då drar man gifvetvis det kortare strået — men då man ser hur matematikerna räknat i fråga om denna kassa det ena året si och det andra så, då är det väl klart, att matematikerna icke stå så säkra; och när man ser kassans gynnsamma ställning och finner, att man förut räknat med för låg lefnadsålder för de manliga lärarne, i det att dessa lefva längre men däremot med för hög för de </w:t>
      </w:r>
      <w:r>
        <w:rPr>
          <w:b/>
        </w:rPr>
        <w:t>kvinnliga¹</w:t>
      </w:r>
      <w:r>
        <w:rPr>
          <w:b w:val="0"/>
        </w:rPr>
        <w:t>, hvilka befunnits lefva kortare tid än man beräknat, och kassans ställning på det sättet blifvit förbättrad, så kan man väl säga, att det ser nästan ut, som om de sakkunnige gått så till väga, att de först frågade: »Hur mycket vilja vi ha i pension&gt; och sedan, »hur skola vi få penningar till det?»</w:t>
        <w:br/>
        <w:br/>
        <w:t>Jag ber, herr talman, att få framställa det yrkandet, jag nyss uppläste, gående ut på att siffran 22,320 sättes 1 stället för siffran 26.889.</w:t>
      </w:r>
    </w:p>
    <w:p>
      <w:pPr>
        <w:pStyle w:val="Heading2"/>
      </w:pPr>
      <w:r>
        <w:t>3. Elof Lindström (Lantmanna- och borgarepartiet inom andrakammaren, man)</w:t>
      </w:r>
    </w:p>
    <w:p>
      <w:r>
        <w:rPr>
          <w:b w:val="0"/>
        </w:rPr>
        <w:t xml:space="preserve">Herr talman, mina herrar! Såsom den föregående ärade talaren utvecklat, gäller det här en aflösning af den tjänstårsrätt, som tillkommer elementarlärare vid de allmänna läroverken. Denna rätt består däri, att stärbhuset efter en afliden lärare äger uppbära aflöningen vid tjänsten ända till nästa första maj, med skyldighet att betala vikarie å befattningen. Detta är tydligen en föråldrad aflöningsform, som bör afskaffas; den passar icke i stycke med nuvarande aflöningssystem. Hvad man särskildt har att anmärka mot denna rätt är, att den verkar så ojämnt. För att belysa detta ber jag att få anföra, att det för några år sedan inträffade, att en lärare afled den sista april. Hans stärbhus hade icke rätt att få ett öre af aflöningen vid tjänsten. Om döden inträdt några timmar senare, hade stärbhuset haft rätt att uppbära aflöning å tjänsten för ett helt år. Herrarne kunna förstå, att vi tycka, att denna aflöningsform icke längre bör få finnas och att den bör afskaffas och ersättas med ett rättvist och jämnare verkande system. Den kan nu, som den föregående talaren nämnde, icke aflösas utan ersättning, ty den är af privilegienatur. Innan jag nu går vidare, vill jag nämna, att lärarnes </w:t>
      </w:r>
      <w:r>
        <w:rPr>
          <w:b/>
        </w:rPr>
        <w:t>änkeoch²</w:t>
      </w:r>
      <w:r>
        <w:rPr>
          <w:b w:val="0"/>
        </w:rPr>
        <w:t xml:space="preserve"> pupillkassa, såsom den föregående talaren mycket riktigt nämnde, består af två grupper: en större och en mindre. Den</w:t>
        <w:br/>
        <w:br/>
        <w:t>större gruppen har ifrågavarande tjänstårsrätt, den mindre har icke dylik tjänstårsrätt. Den större gruppen, som har tjänstårsrätt, består af ämneslärare vid de allmänna läroverken, den mindre, som icke har tjänstårsrätt, består af lärare vid seminarier, tekniska läroanstalter och af öfningslärare vid de allmänna läroverken. Nu är det så, att tjänstårets värde i närvarande stund är uträknadt till — som förut nämnts — omkring 22,000 kronor. Tager man då dessa 22.000 kronor och slår ut dem på alla delägarna i kassan, är det uppenbart, att de delägare, som ha tjänstårsrätt, få göra en uppoffring till förmån för de delägare, som icke ha tjänstårsrätt. Detta vilja naturligtvis icke de förra vara med om, och för att då bringa upp pensionerna för de delägare, som icke ha tjänstårsrätt, i samma proportion, som för de delägare, som ha tjänstårsrätt, har man begärt detta ytterligare belopp af 4,000 kronor, som utgör det värde, som tjänståret skulle ha för den andra gruppen, därest den hade tjänstårsrätt.</w:t>
        <w:br/>
        <w:br/>
        <w:t>Nu drager herr Carl Persson häraf den slutsatsen, att vi skola vara med på den här saken och betala 22,000 kronor, som äro en ren ersättning, men icke vara med på att betala de där 4,000 kronorna, som är en gåfva. Ja, det är åtskilligt som talar för herr Carl Perssons ståndpunkt, men den är icke oangripbar, äfven om man betraktar detta som en ren affär. Den vore oangripbar, om tjänstårets värde under alla tider vore konstant, men så är det icke. Tjänstårets värde stiger med lärarnes antal och med lönernas belopp. Om vi tänka oss denna reform uppskjuten till tio år härefter, då lärarekåren vuxit med 50 å 100 personer och väl äfven lärarnes löner reglerats, så är detta tjänstår, ifall det då aflöses, värdt icke 22.000 kronor, som herr Carl Persson vill betala, och ej heller 26,000 kronor, som Kungl. Maj:t begär, utan antagligen ett högre belopp.</w:t>
        <w:br/>
        <w:br/>
        <w:t>Vill man betrakta detta som en affär, skall man betala icke blott för tjänstårets matematiska värde i denna stund utan lämna vederlag jämväl för värdestegringen. Hur stort detta vederlag skall vara, undandrager sig alla beräkningar. Man kan om de föreliggande förslagen på sin höjd säga det, att om Riksdagen tager Kungl. Maj:ts förslag, det är möjligt, att staten gör en något så när ordentlig affär, hvarken vinner eller förlorar; men om man tager herr Carl Perssons förslag är det alldeles säkert, att lärarekåren gör en dålig affär.</w:t>
        <w:br/>
        <w:br/>
        <w:t>Nu talade herr Persson i BStallerhult om matematikernas beräkningar och sade, att med dem kan man komma till hvilket resultat som helst. Jag vill dock säga, att hvad som inträffat under den tid, som förflutit, sedan den förra beräkningen gjordes och till tiden för den nu föreliggande beräkningen, är en viktig faktor, som tidigare icke kunde beräknas. Det är tillskapandet af dessa nya ämneslärareplatser, hvilket gjort, att befordringsåldern sjunkit. Amneslärarne inträda icke i kassan, förrän de bli ordinarie. Detta inträffade förr vid 36 å 37 års ålder, nu vid tidigare ålder. De komma sålunda att betala till kassan längre tid. Det är detta förhållande, som är den hufvudsakliga anledningen till olikheten i de gjorda be-</w:t>
        <w:br/>
        <w:br/>
        <w:t>räkningarna, och den kunde icke förutses, när den förra beräkningen gjordes.</w:t>
        <w:br/>
        <w:br/>
        <w:t>För min del har jag icke den optimistiska syn på denna kassas ekonomiska ställning, som herr Carl Persson hade. Jag har i mitt yttrande till statsrådsprotokollet ställt mig på den ståndpunkten, att jag icke är riktigt säker, om beräkningarna hålla streck. Kassans aktiva och passiva äro uppgjorda på det sättet, att säkerhetsmarginalen är mycket liten. Skulle kassan icke få dessa 4,000 kronor, skulle det innebära en kapitalförlust på 100,000 kronor, hvilket ju är ganska mycket. Hur som helst med den saken, om herr Carl Perssons förslag vinner Riksdagens bifall, kommer jag att ställas inför den frågan: Skall jag taga det belopp, herr Carl Persson vill gifva, och slå ut det på alla delägarne, eller skall jag bara låta de tjänsteårsberättigade lärarne få det? Det förefaller mig vara uppenbart, att i förra fallet de tjänsteårsberättigade lärarne skola ställa sig på den ståndpunkten att de icke vilja vara med om, att något af ersättningen för tjänsteåret kommer andra till godo än dem själfva. Hafva de andra lärarne dåliga pensionsförhållanden, får staten hjälpa upp den saken. Om jag nu måste böja mig för detta, hvad blir då följden? Jo, antingen måste denna reform uppskjutas till oviss framtid; den skall emellertid alltid komma tillhaka, och aflösningen skall ske, men ju längre den uppskjutes, desto dyrare blir den för staten. Eller också kan jag ställa mig på den ståndpunkten, att jag tager den förbättrade pensionen för de tjänsteårsberättigade lärarne men icke för de andra. Då blir följden, att en läroverksadjunkt får bättre pensionsförhållanden än en seminarieadjunkt; men då kunna herrarne gifva mig rätt 1, att om man så ställer, lider det intet tvifvel, att staten förr eller senare kommer att få träda emellan för att jämna ut den åtskillnaden. Men, mina herrar, det är intet annat än just det som nu begäres.</w:t>
        <w:br/>
        <w:br/>
        <w:t>Då herr Carl Persson talade om denna kassas fördelaktiga ställning och hur fördelaktigt lärarne hade det ställdt i denna sak, så vill jag dock säga, att om man summerar ihop alla de aflöningsförmåner, elementarlärarne ha, och de aflöningsförmåner, som de tjänstemannakategorier ha, med hvilka elementarlärarne enligt både Kungl. Maj:ts och Riksdagens uttalade mening skola vara jämställda, lär herr Carl Persson få medge, att de sämst ställda äro elementarlärarne.</w:t>
        <w:br/>
        <w:br/>
        <w:t xml:space="preserve">Särskildt vill jag i detta sammanhang framhålla en sak, som ligger mig synnerligen om hjärtat. Det är öfningslärarnes ställning. De ha icke tjänsteårsrätt. För att visa, att den tafla — om jag så får säga — som herr Carl Persson upprullade, då han talade om pensionsförhållandena, icke är så ljus, vill jag nämna, att </w:t>
      </w:r>
      <w:r>
        <w:rPr>
          <w:b/>
        </w:rPr>
        <w:t>änkan²</w:t>
      </w:r>
      <w:r>
        <w:rPr>
          <w:b w:val="0"/>
        </w:rPr>
        <w:t xml:space="preserve"> efter en teckningslärare vid högre allmänt läroverk, hvilken lärare i allmänhet är helt och hållet upptagen af sin tjänst, får 300 kronors pension. En teckningslärares vid realskola </w:t>
      </w:r>
      <w:r>
        <w:rPr>
          <w:b/>
        </w:rPr>
        <w:t>änka²</w:t>
      </w:r>
      <w:r>
        <w:rPr>
          <w:b w:val="0"/>
        </w:rPr>
        <w:t xml:space="preserve"> får 120 kronors pension, äfven om mannen varit fullt upptagen af sin tjänst. Detta kan dock icke kallas lysande, utan jag får säga, att det är mycket dåligt, och om herrarne kände sinnesstämningen hos dessa</w:t>
        <w:br/>
        <w:br/>
        <w:t>gamla öfningslärare — det är nu icke bara teckningslärare utan äfven gymnastikoch musiklärare det gäller — visste, hur deras ålders dagar förbittras vid tanken på, att de skola lämna dem, som stå dem närmast, till ekonomisk misär, när de själfva falla ifrån, så skulle herrarne icke tveka att lämna dessa 4,000 kronor.</w:t>
      </w:r>
    </w:p>
    <w:p>
      <w:pPr>
        <w:pStyle w:val="Heading2"/>
      </w:pPr>
      <w:r>
        <w:t>4. Carl Persson (Lantmanna- och borgarepartiet inom andrakammaren, man)</w:t>
      </w:r>
    </w:p>
    <w:p>
      <w:r>
        <w:rPr>
          <w:b w:val="0"/>
        </w:rPr>
        <w:t>Herr talman! Jag tror, att jag uttryckte mig så, att det borde hafva kunnat förstås, att jag icke vill betrakta den summa, som jag vill vara med att tillstyrka, såsom en ren köpeskilling, utan betrakta den som ett statsanslag. Men det får jag säga, att Riksdagen har väl icke förut ansett privilegierna så fasta, att Riksdagen skall med penningar betala för att få dem afskaffade. Ser man på prästerskapets privilegier, så gafs där ingen köpeskilling, när de afskaffades. Ser man på de adliga privilegierna, som dock hade ett ofantligt stort ekonomiskt värde, så vet jag icke, om Riksdagen anslagit ett enda tusental kronor för att få bort dem. Det är väl några af dessa adliga privilegier kvar, men dock icke af stort värde. Det går icke an att betrakta privilegier så, att de skola betalas med penningar efter en noggrant beräknad kapitalisering. Då står ju Riksdagen alldeles maktlös, då det gäller att ordna efter tidsförhållandena.</w:t>
        <w:br/>
        <w:br/>
        <w:t xml:space="preserve">Nu har det talats om de låga pensionerna, och jag erkänner visst, att de kunna vara låga. Men om herrarne granska civilstatens </w:t>
      </w:r>
      <w:r>
        <w:rPr>
          <w:b/>
        </w:rPr>
        <w:t>änkeoch²</w:t>
      </w:r>
      <w:r>
        <w:rPr>
          <w:b w:val="0"/>
        </w:rPr>
        <w:t xml:space="preserve"> pupillkassa och se på delaktighetsbeloppen där, så kunna herrarne i tusental räkna dem, som icke ha större utan lägre pensioner än dessa öfningslärares efterlefvande.</w:t>
        <w:br/>
        <w:br/>
        <w:t>Här är meningen att genom denna nya kassa sätta grundbelopp för pensionerna, innan man börjar räkna efter de löneförmåner, som i en framtid skola bestämma pensionernas storlek. Jag får därför säga, att med det belopp som här är yrkadt, det väl icke lär bli en mörk framtid för denna kassa. Blir den mörk för denna kassa, får Riksdagen träda emellan med oskäliga belopp för alla de andra pensionskassorna och med ännu större belopp än detta.</w:t>
        <w:br/>
        <w:br/>
        <w:t>Men jag tror, att det är en faktor, som matematikerna glömt att räkna med, när de sökt erhålla detta belopp; och den är, att, därigenom att rätten till tjänsteår upphäfves, lärarkåren väl också får en stor förmån. Det får väl icke förnekas, att om tjänsteåret — enligt sista beräkningen uppskattas det till 5'/, månad i genomsnitt — upphäfves, såsom meningen både efter mitt och efter utskottets förslag är, det väl är naturligt, att så snart en tjänsteinnehafvare är död, platsen blir ledig till ansökan och tillsättes jämförelsevis snart, på sin höjd inom tre månader. Sålunda får den lärare, som erhåller platsen, högre aflöning för sitt arbete därigenom, att han sköter platsen såsom ordinarie, än om han uppehölle den såsom vikarie. Detta är alltså en förmån, som genom tjänsteårets upphäfvande kommer lärarne till godo, men jag kan icke finna, att matematikerna tagit den med i beräkningen.</w:t>
        <w:br/>
        <w:br/>
        <w:t>Skall nu denna lärarekår ställa sig så sträng, att den icke ens skall tillåta dessa öfningslärare att komma med i sin kassa, utan</w:t>
        <w:br/>
        <w:br/>
        <w:t>Lördagen den 20 maj, f. m. 63 att staten skall betala detta belopp, så undrar jag om den gjort sig själf en tjänst därmed. När den antydda nya löneregleringen kommer, lär väl Riksdagen ha i minnet, hur stränga dessa herrar äro mot sina kamrater öfningslärare. Jag tror knappast, att en lärarekår skall ställa sig på denna stränga rättsståndpunkt ifall man så får kalla den.</w:t>
      </w:r>
    </w:p>
    <w:p>
      <w:pPr>
        <w:pStyle w:val="Heading2"/>
      </w:pPr>
      <w:r>
        <w:t>5. Adolf Christiernson (–, man)</w:t>
      </w:r>
    </w:p>
    <w:p>
      <w:r>
        <w:rPr>
          <w:b w:val="0"/>
        </w:rPr>
        <w:t>När denna fråga var före förra gången, hade jag vid betänkandet fogat en reservation. Herr statsrådet och chefen för ecklesiastikdepartementet begärde emellertid återremiss, och när sedan saken ånyo behandlades i utskottet, var jag icke närvarande och genom något förbiseende har jag icke blifvit antecknad. Men jag ber att få säga, att om jag varit närvarande under behandlingen, det icke hade varit något som skulle föranledt mig att frångå den mening jag hade, när frågan först behandlades under tionde hufvudtiteln. Jag får för min del säga, att om jag ser på saken, jag tycker, att återremissen är något märkvärdig, ty förslaget har faktiskt blifvit 3,000 kronor dyrare än det var, när det förelåg under tionde hufvudtiteln. Det gäller här det anslag, som förekommer sist i utskottets kläm. Riksdagen har, såsom redan anmärkts, två gånger haft frågan före och afslagit den. Jag ber att få nämna, att när förslaget år 1908 var före, den här historien skulle ha kostat 79,252 kronor; statsutskottet förordade 17,834 kronor, hvilket belopp äfven blef af Riksdagen beviljadt. Några reservanter från Första kammaren ville vara med om 43,267 kronor. Sedan kom frågan före vid 1909 års riksdag; då hade den blifvit något billigare. Då begärde Kungl. Maj:t 25,633 kronor, och Riksdagen beviljade 2,873 kronor. För min del ber jag få säga, att denna fråga synes bli billigare, ju längre man skjuter upp den. Först gick den upp till nära 80,000 kronor, och har nu sjunkit, så att den rör sig om en summa mellan 25- och 30-tusen kronor. Här är det icke såsom i det där fallet, där några böcker blefvo dyrare ju längre man dröjde, utan här blir det billigare ju längre man dröjer. Särskildt betecknande är, att kassans intäkter på de fem år, som förflutit sedan utredningen 1906 och den sista nu, ökats med i rundt tal 35,000 kronor af anledning, som af herr Carl Persson anförts. Då undrar jag, om det är för mycket, om man rent af förmodar, att om saken får ligga ett par år, det skulle visa sig, att kassans ställning blir ännu bättre. Jag vill erinra om, att man beräknat en lägre ränta än den effektiva. Om man dröjer, skulle det kanske visa sig, att kassans inkomster täckte äfven det här ifrågasatta beloppet.</w:t>
        <w:br/>
        <w:br/>
        <w:t>Hvad sedan själfva tjänsteårsrätten beträffar, som man här talar om, och sedan herr Carl Persson inskränkt frågan till att omfatta en summa af 4,569 kronor, som ju skulle vara den köpeskilling, som staten skulle betala för att de lärare, som icke ha rätt till tjänsteår, skulle få vara delägare i kassan på samma villkor som andra, vill jag säga, att när herr statsrådet och chefen för ecklesiastikdepartementet framhåller, att det skulle bli en förlust</w:t>
        <w:br/>
        <w:br/>
        <w:t xml:space="preserve">för ämneslärarna, om icke denna ersättning eller denna köpeskilling betaltes, detta väl icke är riktigt, därför att tjänsteårsrätten nu i viss mån är en lotterivinst. Är det så, att en lärare, en familjeförsörjare dör någon tid efter första maj, blir det stor vinst; ju närmare dödsfallet är april desto mindre blir vinsten på detta lotteri, och det finnes familjer som icke få någon vinst alls. Man har räknat medeltalet till 5'/, månads lön. Då frågar jag, är det icke bättre för lärarne i allmänhet att veta, att fastän deras familjer visserligen förlora denna osäkra utsikt, lön under det s. k. tjänsteåret, de likväl kunna vara säkra på, att </w:t>
      </w:r>
      <w:r>
        <w:rPr>
          <w:b/>
        </w:rPr>
        <w:t>änkeoch²</w:t>
      </w:r>
      <w:r>
        <w:rPr>
          <w:b w:val="0"/>
        </w:rPr>
        <w:t xml:space="preserve"> pupillpensioner bli bättre? När man väger detta mot särskildt de skäl, som bhberr statsrådet framhöll, tycker jag, att det icke kan komma i fråga, att delägarne 1 kassan, d. v. s. ämneslärarne, skola neka att gå med på denna öfverenskommelse, d. v. s. under förutsättning att staten beviljar 22,320 kronor. Detta är dock en ren utgift för staten, hur man vrider på saken så blir det i alla fall en merutgift. Under dessa förhållanden vill jag tillbakavisa talet om, att dessa lärare skola neka att gå med på en sådan öfverenskommelse. Vägra de att göra detta. göra de verkligen en dumhet. Jag ber att få erinra därom, att deras afgifter till kassan komma att förbli låga; 3 4 af lönen anses tillräckligt. Statskontoret har i sitt utlåtande framhållit, att om man jämför denna kassas delägare med andra kassors, man finner att de få erlägga afsevärdt lägre afgifter. Med en afeift af 3 4 skulle en elementarlärare med 4,000 kronors lön årligen få betala 120 kronor, och då kunna hans efterlefvande få en pension på 900 kronor. En tjänsteman i civilstaten med samma delaktighetsbelopp får betala en årsafgift af 168 kronor, men pensionsbeloppet blir endast 800 kronor. Elementarlärarna ha alltså lägre afoifter men högre pensionsbelopp. Då undrar jag, om man kan säga, att äfven om dessa 4,320 kronor icke beviljas, lärarna kunna ha skäl att klaga. Då jag finner det principiellt oriktigt, att staten går med på ett dylikt köp, särskildt när det gäller en grupp af lärare, hvars familjer 1 pensionshänseende ha det bättre ställdt än andra, skall jag tillåta mig att yrka bifall till det af herr Carl Persson gjorda yrkandet, som jag tror är ett uttryck för Andra kammarens och Riksdagens uppfattning, som ju kommit till synes genom under två olika riksdagar fattade "beslut.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1195</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