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167</w:t>
      </w:r>
    </w:p>
    <w:p>
      <w:r>
        <w:rPr>
          <w:b/>
        </w:rPr>
        <w:t xml:space="preserve">Datum: </w:t>
      </w:r>
      <w:r>
        <w:t>1912-03-01</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Theodor af Ekenstam (Lantmanna- och borgarepartiet inom andrakammaren, man)</w:t>
      </w:r>
    </w:p>
    <w:p>
      <w:r>
        <w:rPr>
          <w:b w:val="0"/>
        </w:rPr>
        <w:t>För att så att säga lägga saken på rätt bog ifrån början ber jag få påpeka hvad herrarna naturligtvis alla redan förut observerat, nämligen att den ändring, som genom i frågavarande</w:t>
        <w:br/>
        <w:br/>
        <w:t>lagförslag åsyftas, berör icke dem, som redan utträdt ur den svenska statskyrkan, utan medlemmar inom den svenska statskyrkan. Den ordning, som åsyftas, är således en sådan, som skulle tillämpas inom kyrkan vid sidan af den, som nu gäller. Man torde väl principiellt kunna säga, att, då ju stat och kyrka, som här i vårt land närmast skulle sammanfalla, bestämma, hurusom en viss ordning i afseende å kyrkobruk skall råda, detta borde vara förbindande för alla, som stå inom kyrkan. De, som icke kunna vara belåtna med att underkasta sig dessa kyrkobruk, de borde väl känna sig manade att utträda ur kyrkan. Också har lagstiftningen allt mer och mer gått i sådant syfte, att utträdet ur kyrkan för dessa skulle bli lätt och icke förenadt med särskildt förödmjukande och svåra villkor.</w:t>
        <w:br/>
        <w:br/>
        <w:t>Men utom detta principiella skäl att afvisa motionen, vill jag erinra om att Riksdagen genom skrifvelse af den 9 mars 1909 hos Kungl. Maj:t anbållit, att ytterligare utredning måtte göras, huru man skall kunna förfara för att än mera befordra utträdet ur kyrkan för dem, som hafva åsikter, hvilka ej ölfverensstämma med statskyrkans. På denna skrifvelse har Riksdagen ännu icke fått svar, men den ligger under utarbetning, och i samband med densamma komma att upptagas och behandlas -— det ligger i sakens natur — sådana omständigheter, som angå dop och begrafning. Det har därför synts reservanterna vara att gå händelserna i förväg, om Riksdagen nu ytterligare skulle påpeka ungefär detsamma som redan en gång skett, och det i en skrifvelse af vida större omfång, än hvad det nu gäller.</w:t>
        <w:br/>
        <w:br/>
        <w:t xml:space="preserve">I närvarande ögonblick har dessutom ett helt nytt moment tillkommit. Från mycket framstående håll bland dessa inom svenska statskyrkan kvarstående frireligiösa har nämligen afgifvits förklaring, att de icke kunna vara belåtna med den lösning af frågan, som här är åsyftad. Icke minst ha de reagerat mot motionärens tanke, att för att den frihet, som motionären eftersträfvar, skulle vinnas, skulle kräfvas ett antal af minst 50 fullmyndiga män och </w:t>
      </w:r>
      <w:r>
        <w:rPr>
          <w:b/>
        </w:rPr>
        <w:t>kvinnor¹</w:t>
      </w:r>
      <w:r>
        <w:rPr>
          <w:b w:val="0"/>
        </w:rPr>
        <w:t>. Och dock är det ju ganska naturligt, att, om öfver hufvud en sådan frihet, som man här vill bereda, skall kunna lämnas, man måste ha någon garanti för, att de, hvilka erhålla den, icke utgöra en hur obetydlig och på egna spekulationer uppbyggd kategori som helst. Ej heiler kan det vara lämpligt, att personer, som tillhöra — åtminstone till namnet — den svenska statskyrkan, skulle, genom att krypa bakom en eventuell sådan bestämmelse, kunna införa helt och hållet ateistiska former.</w:t>
        <w:br/>
        <w:br/>
        <w:t>Slutligen kan jag icke underlåta att betona, att det är ytterst egendomligt, att den svenska kyrkan skall förmenas att bestämma öfver hurudana former skola finnas inom dess eget område. De frireligiösa samfunden vilja till alla delar fritt be-</w:t>
        <w:br/>
        <w:br/>
        <w:t>stämma sina former och tåla intet intrång. Hvarför skall svenska statskyrkan vara i så mycket sämre läge, helst numera, då ju staten, som nyss sagts, på alla möjliga sätt söker röja väg för dem, som icke längre kunna vara med om hvad svenska statskyrkan vill ha såsom sina normer? Om nu den vägen icke gås af dem. som ha tillfälle att gå den, då må väl därför icke statskyrkans byggnad behöfva rubbas.</w:t>
        <w:br/>
        <w:br/>
        <w:t>Jag ber därför, herr talman, att för min del få yrka afslag å utskottets hemställan.</w:t>
      </w:r>
    </w:p>
    <w:p>
      <w:pPr>
        <w:pStyle w:val="Heading2"/>
      </w:pPr>
      <w:r>
        <w:t>2. Wilhelm Gullberg (Liberala samlingspartiet, man)</w:t>
      </w:r>
    </w:p>
    <w:p>
      <w:r>
        <w:rPr>
          <w:b w:val="0"/>
        </w:rPr>
        <w:t>Jag ber allra först att få uttrycka min synnerliga tillfredsställelse med utskottets motivering och äfven med det yrkande, som utskottet kommit till. Det varslar om, att en bättre förståelse börjar göra sig gällande mot de kategorier af medborgare, som det här gäller, nämligen de, som äro tillgifna de s. k. frikyrkliga riktningarna. Det skulle glädja mig mycket, om äfven denna kammare i dag visade förståelse och ville besluta en skrifvelse till Kungl. Maj:t, på det att en utredning om deras kyrkliga förhållanden måtte äga rum.</w:t>
        <w:br/>
        <w:br/>
        <w:t>Jag vet visserligen, att det är många, som anse den här motionen och dess innebörd vara revolutionär — ja, af vissa anses den kanske rent af såsom anarkistisk — och som skulle känna mycken sorg, om ifrågavarande skrifvelse här 1 dag beslutades. Men det skulle tvifvelsutan vara ett steg i rätt riktning, om en utredning komme till stånd.</w:t>
        <w:br/>
        <w:br/>
        <w:t xml:space="preserve">Dessa kategorier af medborgare, som det här är fråga om, ha i allmänhet icke mötts med förståelse. Jag vill påminna om den stora s. k. nattvardspetitionen på 1870-talet, då öfver 22,000 myndiga män och </w:t>
      </w:r>
      <w:r>
        <w:rPr>
          <w:b/>
        </w:rPr>
        <w:t>kvinnor¹</w:t>
      </w:r>
      <w:r>
        <w:rPr>
          <w:b w:val="0"/>
        </w:rPr>
        <w:t xml:space="preserve"> framburo inför Kungl. Maj:t sina önskemål. Men vi veta, att någon effekt hade icke denna petition. Det har inte varit mycket tillmötesgående, utan man har hållit hårdt på kyrkliga former och bestående lagar och sagt: »sådan är lagen, rätten eder efter den.&gt; Vi borde dock veta, att när det gäller andliga förhållanden, går det icke att på det sättet lagstifta och bestämma. Det har också visat sig, att dessa audliga rörelser ha banat sig egna vägar. De ha vunnit rätt stora segrar, och antalet af dem, som i vårt land anslutit sig till dessa rörelser, är denna dag ganska stort.</w:t>
        <w:br/>
        <w:br/>
        <w:t>För några år sedan upphäfdes ett kyrkorådsval någonstädes i Uppland af Uppsala domkapitel, med anledning af att den valde deltog med de frikyrkliga i deras nattvard. Om jag icke missminner mig, rättade Kungl. Maj:t till det så, att mannen fick vara kyrkorådsmedlem. Någon, som äger stor personalkännedom i landet, sade då, att det skulle hafva varit mycket olyckligt, om så icke skett, ty i många af landets kommuner ligger den kommunala förvaltningen och förtroendeuppdragen just i händerna på dem, som deltaga i frikyrkliga nattvardsgångar och samla sig</w:t>
        <w:br/>
        <w:br/>
        <w:t xml:space="preserve">Jag anser, att nu är visserligen en klyfta mellan kyrkliga och frikyrkliga, men jag undrar, om icke en förståelse, särskildt från de kyrkliga myndigheternas sida, skulle kunna åstadkomma, att en brygga byggdes emellan dessa skilda strömningar. Jag vill härvid påminna om huru Danmarks kyrkopolitiker mottogo dessa andliga rörelser. De stiftade år 1868 en lag, »valgmenighedsloven&gt;, som till en del är en motsvarighet till den lag jag tänkt mig. Den ger tjugu myndiga män och </w:t>
      </w:r>
      <w:r>
        <w:rPr>
          <w:b/>
        </w:rPr>
        <w:t>kvinnor¹</w:t>
      </w:r>
      <w:r>
        <w:rPr>
          <w:b w:val="0"/>
        </w:rPr>
        <w:t xml:space="preserve"> i Danmark rättighet att bilda inom folkkyrkan en »valgmenighed» och den pastor, de valt, har rättighet att utföra de kyrkliga handlingarna.</w:t>
        <w:br/>
        <w:br/>
        <w:t>Det berättades mig häromdagen af en man, som känner engelska förhållanden, att bredvid statskyrkan i England finnas stora frikyrkliga organisationer, hvilkas föreståndare få begära licens, som ger dem rätt att utföra vigsel, dop och begrafning i öfverensstämmelse med sin åskådning. Dessa medgifvanden ha icke rifvit sönder engelska högkyrkan och »valgmenighedsloven» har icke rifvit sönder danska statskyrkan. Hvarför skulle en motsvarande lag här i landet rifva sönder svenska statskyrkan? Jag tror, att om ett tillmötesgående af de önskningar, som under årens lopp hafva framburits från frikyrkligt håll, hade visats från de kyrkliga myndigheterna, skulle svenska statskyrkan denna dag hafva varit mycket starkare, än den nu är. Det är icke af okynne, det är icke af lust att polemisera, det är icke af lust att framföra några nya meningar, som jag väckt denna motion, utan jag har velat på mitt ringa sätt söka bidraga till att det äfven på det andliga området skulle kunna blifva enigare, bättre och mera samförstånd.</w:t>
        <w:br/>
        <w:br/>
        <w:t>En skrifvelse till Kungl. Maj:t om ett lagförslag innebär ju att detta sedan remitteras till Riksdagen för Riksdagens godkännande. Den förre ärade talaren sade: »Skall icke kyrkan få ordna med sina förhållanden?» Jo, visst får den det, och kyrkans organ är kyrkomötet. En lag rörande kyrkliga förhållanden blir icke gällande, förrän äfven kyrkomötet har antagit den.</w:t>
        <w:br/>
        <w:br/>
        <w:t>Jag anser, att de ärade :reservanterna hafva gått något på sidan om ämnet. Det finns visserligen en dissenterlag, men den är stiftad, mina herrar, för »främmande trosbekännare». Man har någon gång sagt till dessa stora skaror af frikyrkliga: »Gå ut ur kyrkan och ställen eder under dissenterlagen!&gt; Det är orimligt att säga så, ty till tro och öfvertygelse äro vi inga »främmande trosbekännare». . Vi äro uppfostrade i statskyrkans teologi och vi gilla öfver hufvud taget den. Det är endast med afseende på vissa kyrkliga förhållanden i organisation och annat sådant, som vi hafva skilt oss, och jag undrar, om vi icke trots det böra få stanna kvar inom den svenska evangeliskt lutherska stats-</w:t>
        <w:br/>
        <w:br/>
        <w:t>kyrkan, då vi icke vilja kalla oss »främmande trosbekännare»&gt; och icke heller äro det.</w:t>
        <w:br/>
        <w:br/>
        <w:t>Jag känner, mina herrar, det frikyrkliga folket i landet ganska väl, och jag vet, att de äro öfver hufvud taget allesammans varma fosterlandsvänner, vänner af den bestående lagbundna ordningen, och jag undrar, om icke Första kammaren i dag skulle hedra sig genom att nu aflåta en skrifvelse till Kungl. Maj:t för att få dessa förhållanden utredda.</w:t>
        <w:br/>
        <w:br/>
        <w:t xml:space="preserve">Då vi voro samlade här en af de första dagarna under denna riksdag, sade hans excellens statsministern några ord, som i alldeles särskild mening kunna tillämpas på det folk, som det här gäller, dessa omkring 200,000 män och </w:t>
      </w:r>
      <w:r>
        <w:rPr>
          <w:b/>
        </w:rPr>
        <w:t>kvinnor¹</w:t>
      </w:r>
      <w:r>
        <w:rPr>
          <w:b w:val="0"/>
        </w:rPr>
        <w:t>: »det folket är godt i sin innersta rot, och går man det till mötes, så kommer det en emot.&gt; Jag tror, att det är ord värda att minnas i detta sammanhang.</w:t>
      </w:r>
    </w:p>
    <w:p>
      <w:pPr>
        <w:pStyle w:val="Heading2"/>
      </w:pPr>
      <w:r>
        <w:t>3. unknown (–, –)</w:t>
      </w:r>
    </w:p>
    <w:p>
      <w:r>
        <w:rPr>
          <w:b w:val="0"/>
        </w:rPr>
        <w:t>Herr talman, mina herrar! I förbigående vill jag anmärka, att talet om &gt; valgmenighed&gt; och &gt;»valgmenighedslov»&gt; i likhet med hvad som gäller i Danmark nog ligger långt bort från detta ärende, ty valgmenighed är något helt annat än det, som här föreslås. Jag skall därför icke inlåta mig på den saken.</w:t>
        <w:br/>
        <w:br/>
        <w:t>Jag vill först uttala min förvåning öfver och ett beklagande af, att denna motion här framkommit.</w:t>
        <w:br/>
        <w:br/>
        <w:t>Motionären säger själf, att till en början »sågo statskyrkans officiella representanter, biskopar och präster, dessa riktningars&gt; — de riktningar, som det här är tal om — &gt;tillvaro och arbete med mycket oblida ögon. Bitterheten mot dem är dock nu, det kan med glädje konstateras, mångenstädes alldeles borta.&gt; Ar detta ett faktum — och jag anser, att det ligger mycken sanning i dessa ord — då kan man icke annat än förvånas öfver att den, som uttalar sin glädje häröfver, på samma gång väcker ett förslag, som måste framkalla mycket djupgående strider och uppväcka mycken bitterhet.</w:t>
        <w:br/>
        <w:br/>
        <w:t>Utskottet erinrar om hvad som i vårt land skedde år 1896. Under mitt lif har aldrig — om jag får nyttja ett ord, som jag icke gärna använder, därför att jag tycker, att det användes så ofta i otrefligt sammanhang — bar aldrig, säger jag, åstadkommits en sådan gungning inom vår svenska kyrka och särskildt inom svenska prästerskapet som år 1896, då samma ärende, som här föreligger, stod på dagordningen.</w:t>
        <w:br/>
        <w:br/>
        <w:t>Skola vi nu rifva upp detta igen? Skola vi nu framkalla samma bitterhet och liknande strider? Det borde väl den låta bli att göra, som uttalar sin glädje öfver det bättre tillstånd, som kommit till. 1896 års oro lade sig, sedan biskopskonferen-</w:t>
        <w:br/>
        <w:br/>
        <w:t>sen framkommit med ett förslag om, huru dop, af lekman förrättadt, skulle antecknas i kyrkobok. Det var märkvärdigt, huru detta lugnade sinnena både bland prästerskapet och bland de frireligiöse. Jag har sällan varit med om någonting, som mera förvånat mig, än den starka verkan, som den mycket enkla åtgärden hade, ty sedan dess har så godt som alls ingen strid om denna sak hörts af. Om de förhållanden, som då inträdde, någon gång hafva ställt frågor till det ena eller det andra hållet, så hafva dessa frågor besvarats i all fridsamhet.</w:t>
        <w:br/>
        <w:br/>
        <w:t>Jag skall nu ett ögonblick fästa uppmärksamheten på hvad motionärerna föreslå; och då kan jag icke annat än uttala min synnerliga förvåning öfver att man från det hållet yrkar på det, som man begär här. Man begär, att om 50 medlemmar förena sig om en framställning, som här är i fråga, så skall den pröfvas af Konungens befallningshafvande, och så skall Konungens befallningshafvande meddela rätt åt dessa femtios föreståndare att förrätta dop och jordfästning. Är Konungens befallningshafvande verkligen en myndighet, som det kan lämpa sig för att få denna saken till afgörande? Från hvilken synpunkt sedt har man valt Konungens befallningshafvande? Mina herrar, jag kan icke förstå, att det är ifrån annan synpunkt än den, att Konungens befallningshafvande representerar den högsta polismyndigheten inom länet. Ar det nu icke märkvärdigt, att dessa män, som äro så måna om att hålla det religiösa och det borgerliga skildt från hvarandra, vilja göra en så alltigenom religiös sak till ett ärende att afgöras af polismyndigheten? De klaga ständigt öfver det nära sambandet mellan det kyrkliga och det statsliga, och man tröttnar aldrig att med ringaktning tala om statskyrkoprästerna, som om det egentligen vore ett släkte af sämre natur, åtminstone än de, som icke äro statskyrkopräster. Men här vill man, att vi skola få ett slags polismyndighetsprästerskap. Och så fordras som villkor, att det skall vara femtio medlemmar, som skola vara antecknade. Om det är litet färre, som hafva samma önskningar och samma behof, skall således icke den ifrågavarande tillåtelsen kunna erhållas.</w:t>
        <w:br/>
        <w:br/>
        <w:t>Jag undrar icke öfver, att de frireligiösa, som se saken litet djupare och skarpare, hafva protesterat mot denna motion. Vi hafva sett, att en man, som dock alltid ansetts och som alltid måste erkännas såsom främste man inom det frireligiösa partiet, själf offentligen har manat sina meningsfränder, att de borde yrka afslag å denna motion. Det är alldeles uppenbart, att den mannen tänker klarare än motionärerna.</w:t>
        <w:br/>
        <w:br/>
        <w:t>Blir så fråga om de motiv, som kunna föreligga för en sådan ordning, som här är föreslagen, så försökte icke den förre talaren ens påstå, att här skulle vara fråga om någon samvetssak eller om religionsfrihet. Det håller jag honom räkning för. Det kan icke vara tal om det här. Hvad är här fråga om, när man</w:t>
        <w:br/>
        <w:br/>
        <w:t>nu vill ha den här föreslagna ändringen i afseende å dopet? Det finns ingen människa, som hindrar en lekman eller en frireligiös församlings eller ett frireligiöst samfunds föreståndare att förrätta dop. Men hvad är det nu, som då skulle vara det oriktiga? Jo, att i svenska kyrkans församlingsbok skrifvas orden &gt;icke af svenska kyrkan döpt». Där antecknas sålunda bara det enkla historiska faktum. Kan någon människa vilja säga, att det kan utöfva något slags religiöst tvång, att när det anmäles, att ett barn är födt och på det angifna sättet döpt, så skrifves i kyrkoboken »icke af svenska kyrkan döpt&gt;?</w:t>
        <w:br/>
        <w:br/>
        <w:t>Och hvad begrafning angår, så har jag heller aldrig hört, att därvid skulle vara något slags samvetstvång. Vid jordfästning — det veta alla herrarna — läses en kort bön, mot hvilken väl aldrig något kristet samvete reagerar; så läses ett par bibelspråk, ett par psalmverser samt Fader vår och välsignelsen. Kan detta på något sätt besvära en människas samvete? Sedan får den frikyrkliga predikanten hålla hur mycket tal han vill vid grafven, och ingen människa hindrar honom därifrån. År här skäl till att uppväcka strid och bitterhet?</w:t>
        <w:br/>
        <w:br/>
        <w:t>Motionon går ut på att inom den svenska kyrkans egna råmärken sönderbryta gammal kyrklig ordning, mot hvilken i sak intet har kunnat anmärkas — och en kyrkans ordning på fundamentala punkter, ty sättet och ordningen för den sakramentala förvaltningen är en fundamental punkt i den kyrkliga oråningen.</w:t>
        <w:br/>
        <w:br/>
        <w:t>Hvad skulle de frireligiösa säga, om jag väckte en motion i Riksdagen om huru de skulle inom sitt frireligiösa samfund få utföra en kyrklig handling? Men här, då ingen besväras af det, här skall den svenska kyrkan icke få utföra akterna efter sin ordning!</w:t>
        <w:br/>
        <w:br/>
        <w:t xml:space="preserve">Den svenska folkkyrkan har berättigade kraf på att den svenska Riksdagen ger </w:t>
      </w:r>
      <w:r>
        <w:rPr>
          <w:b/>
        </w:rPr>
        <w:t>henne²</w:t>
      </w:r>
      <w:r>
        <w:rPr>
          <w:b w:val="0"/>
        </w:rPr>
        <w:t xml:space="preserve"> åtminstone ungefär liknande rätt och stöd, som svenska Riksdagen icke förmenar andra samfund.</w:t>
        <w:br/>
        <w:br/>
        <w:t>Så mycket mindre är det skäl att här göra någon sådan ändring, som man kan hänvisa till 1373 års dissenterlag. Den siste talaren sade visserligen: vi vilja icke begagna oss af den. Ja, hvarför icke? Jag vill icke säga, att jag önskar, att ni skola göra det; det säger jag icke, det ber jag att få betona. Men vill ni icke begagna er af 1873 års dissenterlag, då skola ni också vara någorlunda lydiga eller åtminstone icke alltför upproriska mot gällande kyrkoordning. Jag upprepar, att jag härmed icke vill säga, att jag önskar, att ni skola begagna er af anvisningen i dissenterlagen.</w:t>
        <w:br/>
        <w:br/>
        <w:t>Men den siste talaren sade: vi hafva icke skilt oss ifrån kyrkan, fastän vi icke kunna gilla en del af de kyrkliga dogmerna. Vi äro uppfostrade i svenska kyrkan, men vi äro af olika mening om vissa dogmer m. m. — jo, så sade den före-</w:t>
        <w:br/>
        <w:br/>
        <w:t>gående talaren — eller om han icke sade det, så menade han det åtminstone. Det är icke bara kyrkoordningen, det här i grunden gäller. nej, herr Gullberg, jag känner er nog! Jag</w:t>
        <w:br/>
        <w:br/>
        <w:t>skulle kunna säga, hvilka punkter det här egentligen är fråga om och där vi äro af olika mening. Det är allt äfven i fråga om läran, det är icke blott i fråga om ordningen.</w:t>
        <w:br/>
        <w:br/>
        <w:t>Slutligen skall jag be att få säga ett par ord om lagutskottets förslag. Då ber jag först att få göra en anmärkning emot lagutskottets motivering. Det vill här förorda en skrifvelse till Kungl. Maj:t med begäran om en utredning. Men så ger utskottet ett bestämdt direktiv i sitt utlåtande rörande den riktning, i hvilken utredningen skall gå. Det är en anmärkning.</w:t>
        <w:br/>
        <w:br/>
        <w:t xml:space="preserve">Så, herr professor, är det en anmärkning till. Och det är den, att lagutskottet har i sitt förslag gått ett långt stycke utöfver hvad motionärerna hafva begärt. Motionärerna hafva hegärt, att föreståndare för missionsföreningar af ett visst slag skulle få ifrågavarande rätt. Lagutskottet inskränker sig icke till det, utan begär, att Kungl. Maj:t »täcktes låta utreda, under hvilka villkor annan person än präst inom svenska kyrkan må kunna tillåtas att inom svenska kyrkan förrätta dop och jordfästning». — Således, hvilken annan som helst, man och </w:t>
      </w:r>
      <w:r>
        <w:rPr>
          <w:b/>
        </w:rPr>
        <w:t>kvinna¹</w:t>
      </w:r>
      <w:r>
        <w:rPr>
          <w:b w:val="0"/>
        </w:rPr>
        <w:t>, frireligiös, ateist, hvem som helst skall få rätt att förrätta de ifrågavarande akterna. Så liberala ha ni varit i lagutskottet! Det tycker jag är att gå något för långt. Och äfven om jag icke hade andra skäl för att yrka afslag än dem, hvilka jag nu anfört, så ansåge jag mig härutinnan hafva fullt tillräckligt skäl att göra det.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