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w:t>
      </w:r>
    </w:p>
    <w:p>
      <w:r>
        <w:rPr>
          <w:b/>
        </w:rPr>
        <w:t xml:space="preserve">Datum: </w:t>
      </w:r>
      <w:r>
        <w:t>1912-04-27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Trygger (Högerns riksdagsgrupp, man)</w:t>
      </w:r>
    </w:p>
    <w:p>
      <w:r>
        <w:rPr>
          <w:b w:val="0"/>
        </w:rPr>
        <w:t>Jag glömde, när jag förra gången hade ordet, att nämna, att Andra kammaren har beslutat återremittera ärendet till utskottet.</w:t>
        <w:br/>
        <w:br/>
        <w:t>Efter härmed slutad öfverläggning gjordes i enlighet med de yrkanden, som därunder förekommit, propositioner, först på bifall till hvad utskottet i förevarande utlåtande hemställt samt vidare därpå, att ärendet skulle visas åter till utskottet; och förklarades den senare propositionen vara med öfvervägande ja besvarad.</w:t>
        <w:br/>
        <w:br/>
        <w:t xml:space="preserve">Där brottet stannat vid försök, må straff, som enligt 2 &amp; eller 18 8 1 mom. å gärningen följa bort, nedsättas till straffarbete i sex månader. Har </w:t>
      </w:r>
      <w:r>
        <w:rPr>
          <w:b/>
        </w:rPr>
        <w:t>kvinnan¹</w:t>
      </w:r>
      <w:r>
        <w:rPr>
          <w:b w:val="0"/>
        </w:rPr>
        <w:t xml:space="preserve"> under de omständigheter, som i 1 mom. sagts, utsatt barnet eller det eljest uppsåtligen från sig skilt och såmedelst i hjälplöst tillstånd försatt, då må jämväl straff efter 30 $&amp; eller 31 &amp; andra punkten nedsättas under hvad eljest å gärningen följa bort, dock lägst till straffarbete i sex månader.</w:t>
      </w:r>
    </w:p>
    <w:p>
      <w:pPr>
        <w:pStyle w:val="Heading2"/>
      </w:pPr>
      <w:r>
        <w:t>2. Emil Gezelius (–, man)</w:t>
      </w:r>
    </w:p>
    <w:p>
      <w:r>
        <w:rPr>
          <w:b w:val="0"/>
        </w:rPr>
        <w:t>Då jag deltagit i behandlingen inom utskottet af nu förevarande ärende och därvid uttalat mycken tvekan, huruvida förslaget vore på ett lyckligt och tydligt sätt affattadt, därest man afsåge att åt dess tillämplighet gifva den</w:t>
        <w:br/>
        <w:br/>
        <w:t>begränsning, som synes mig nödig, skall jag här yttra några ord. Vid utlåtandets justering har jag icke varit i tillfälle att deltaga och min tvekan har jag därför icke kunnat göra gällande vid utlåtandets affattande.</w:t>
        <w:br/>
        <w:br/>
        <w:t xml:space="preserve">Tyngdpunkten hos föreslaget till en ändring af straffen för vissa fall af mord och dråp å barn, föröfvade af dess </w:t>
      </w:r>
      <w:r>
        <w:rPr>
          <w:b/>
        </w:rPr>
        <w:t>moder²</w:t>
      </w:r>
      <w:r>
        <w:rPr>
          <w:b w:val="0"/>
        </w:rPr>
        <w:t xml:space="preserve">, ligger i den föreslagna nya 34 8 af 14 kapitlet strafflagen. Paragrafen vill från 1 till 3 $$ af samma kapitel skilja de fall, då </w:t>
      </w:r>
      <w:r>
        <w:rPr>
          <w:b/>
        </w:rPr>
        <w:t>kvinna¹</w:t>
      </w:r>
      <w:r>
        <w:rPr>
          <w:b w:val="0"/>
        </w:rPr>
        <w:t xml:space="preserve">, som af oloflig beblandelse varit hafvande, i annat fall än i 22 $ sägs — det vill säga vid födelsen eller strax därefter — uppsåtligen dödat sitt barn, såsom paragrafen säger »under inflytande af den öfvergifna eller nödställda belägenhet, hvari </w:t>
      </w:r>
      <w:r>
        <w:rPr>
          <w:b/>
        </w:rPr>
        <w:t>hon²</w:t>
      </w:r>
      <w:r>
        <w:rPr>
          <w:b w:val="0"/>
        </w:rPr>
        <w:t xml:space="preserve"> i följd af barnets födelse befunnit sig». Straffpåföljden blir i sådant fall afsevärdt lägre.</w:t>
        <w:br/>
        <w:br/>
        <w:t xml:space="preserve">Den tolkning vore visst icke konstruerad, utan synes det mig ligga närmast till hands, att det nya lagstadgandet skulle tillämpas i hvarje fall, då ett uppsåtligt dödande af ett barn begåtts af dess </w:t>
      </w:r>
      <w:r>
        <w:rPr>
          <w:b/>
        </w:rPr>
        <w:t>mor²</w:t>
      </w:r>
      <w:r>
        <w:rPr>
          <w:b w:val="0"/>
        </w:rPr>
        <w:t xml:space="preserve"> under inflytande af ett nödläge, hvari </w:t>
      </w:r>
      <w:r>
        <w:rPr>
          <w:b/>
        </w:rPr>
        <w:t>hon²</w:t>
      </w:r>
      <w:r>
        <w:rPr>
          <w:b w:val="0"/>
        </w:rPr>
        <w:t xml:space="preserve"> befunne sig till följd af barnets födelse. Alltså, så snart man konstaterat ett nödläge och kan påvisa ett kausalsammanhang mellan detta nödläge och ett barns födelse under angifna förhållanden, skulla detta lagstadgande vinna tillämpning. Om jag tänker mig det fallet konkret, exemplifieradt: En </w:t>
      </w:r>
      <w:r>
        <w:rPr>
          <w:b/>
        </w:rPr>
        <w:t>kvinna¹</w:t>
      </w:r>
      <w:r>
        <w:rPr>
          <w:b w:val="0"/>
        </w:rPr>
        <w:t xml:space="preserve"> har till följd af oloflig beblandelse födt ett barn; </w:t>
      </w:r>
      <w:r>
        <w:rPr>
          <w:b/>
        </w:rPr>
        <w:t>hon²</w:t>
      </w:r>
      <w:r>
        <w:rPr>
          <w:b w:val="0"/>
        </w:rPr>
        <w:t xml:space="preserve"> har vid barnsbörden icke varit i något sådant nödläge, som här förutsättes, hvarken öfvergifven eller nödställd; både </w:t>
      </w:r>
      <w:r>
        <w:rPr>
          <w:b/>
        </w:rPr>
        <w:t>hon²</w:t>
      </w:r>
      <w:r>
        <w:rPr>
          <w:b w:val="0"/>
        </w:rPr>
        <w:t xml:space="preserve"> och </w:t>
      </w:r>
      <w:r>
        <w:rPr>
          <w:b/>
        </w:rPr>
        <w:t>hennes²</w:t>
      </w:r>
      <w:r>
        <w:rPr>
          <w:b w:val="0"/>
        </w:rPr>
        <w:t xml:space="preserve"> barn hafva under många år därefter lefvat under lyckliga förhållanden, men efter åratal kommer det felsteg, som </w:t>
      </w:r>
      <w:r>
        <w:rPr>
          <w:b/>
        </w:rPr>
        <w:t>hon²</w:t>
      </w:r>
      <w:r>
        <w:rPr>
          <w:b w:val="0"/>
        </w:rPr>
        <w:t xml:space="preserve"> begått, i dagen. Den vanära, som alla, hvilka intressera sig för </w:t>
      </w:r>
      <w:r>
        <w:rPr>
          <w:b/>
        </w:rPr>
        <w:t>henne²</w:t>
      </w:r>
      <w:r>
        <w:rPr>
          <w:b w:val="0"/>
        </w:rPr>
        <w:t xml:space="preserve">, anse ligga i sakförhållandet, rifver upp det gamla, och i följd af detta barns födelse kommer </w:t>
      </w:r>
      <w:r>
        <w:rPr>
          <w:b/>
        </w:rPr>
        <w:t>hon²</w:t>
      </w:r>
      <w:r>
        <w:rPr>
          <w:b w:val="0"/>
        </w:rPr>
        <w:t xml:space="preserve"> i det nödläge, som lagförslaget talar om såsom en förutsättning. Barnet har nått en ålder af låt mig säga tio år.</w:t>
        <w:br/>
        <w:br/>
        <w:t>En utbrytning från 1 och 3 $$:s tillämpningsområde af sådana fall, utan att man på samma gång tager under ompröfning, huruvida icke ett otal andra fall, som skola bedömas efter 1 och 3 $$ i kapitlet, bör vinna beaktande, synes mig icke vara hållbar. Man kan tänka sig många sådana fall, då omständigheterna tala lika högt för en längre gående skonsamhet mot en människa, som har dödat en annan, än nuvarande lag tillåter. |</w:t>
        <w:br/>
        <w:br/>
        <w:t xml:space="preserve">För min tvekan har jag inom utskottet gifvit uttryck i hemställan om en ändring, men jag erkänner, att den tolkning jag angifvit icke är nödvändig. För att i någon mån bidraga till, att den icke må följas vid lagens tillämpning, vill jag från denna plats hafva uttalat såsom min uppfattning, att lagförslagets tillämpning förutsätter, att endast en med hänsyn till </w:t>
      </w:r>
      <w:r>
        <w:rPr>
          <w:b/>
        </w:rPr>
        <w:t>kvinnans¹</w:t>
      </w:r>
      <w:r>
        <w:rPr>
          <w:b w:val="0"/>
        </w:rPr>
        <w:t xml:space="preserve"> förhållanden efter barnsbörden skäligen begränsad tid för-</w:t>
        <w:br/>
        <w:br/>
        <w:t xml:space="preserve">flutit mellan barnets födelse och brottets begående, att den alf- Lagförslag sedda strafflindringen för uppsåtligt dödande, begånget af en om. stvalj för </w:t>
      </w:r>
      <w:r>
        <w:rPr>
          <w:b/>
        </w:rPr>
        <w:t>mor²</w:t>
      </w:r>
      <w:r>
        <w:rPr>
          <w:b w:val="0"/>
        </w:rPr>
        <w:t xml:space="preserve"> å dess barn, sålunda icke må tillgodonjutas, då modern så- "dödat sitt väl fysiskt och psykiskt, till sin personlighet, som i afseende å — barn. yttre förhållanden, såsom de ekonomiska, återkommit till och = (Forts. under en skälig tid lefvat under för </w:t>
      </w:r>
      <w:r>
        <w:rPr>
          <w:b/>
        </w:rPr>
        <w:t>henne²</w:t>
      </w:r>
      <w:r>
        <w:rPr>
          <w:b w:val="0"/>
        </w:rPr>
        <w:t xml:space="preserve"> förhållandevis normala förhållanden.</w:t>
        <w:br/>
        <w:br/>
        <w:t>Under förutsättning, att riktigheten af denna min uppfattning om lagförslagets afsedda innebörd icke här blir motsagd, lämnar jag min röst till bifall för detsamma, eljest icke.</w:t>
        <w:br/>
        <w:br/>
        <w:t>landet inom Norrland och Dalarne. pd random</w:t>
        <w:br/>
        <w:br/>
        <w:t>»På grund af kända förhållanden, som utvecklats i en myckenhet äldre framställningar, nödgas jag hemställa: att Riksdagen ville</w:t>
        <w:br/>
        <w:br/>
        <w:t>3:0) hos Kungl. Maj:t begära en snar allsidig och oväldig undersökning af ofvannämnda tre lagars och den norrländska ägostyckningslagens verkningar i afseende å de syften, som de skulle tjäna, äfvensom i den mån utredningen därtill ger anledning omedelbart framlägga förslag till förbättring i lagarna.»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