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220</w:t>
      </w:r>
    </w:p>
    <w:p>
      <w:r>
        <w:rPr>
          <w:b/>
        </w:rPr>
        <w:t xml:space="preserve">Datum: </w:t>
      </w:r>
      <w:r>
        <w:t>1914-08-29</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Fredrik Wachtmeister (–, man)</w:t>
      </w:r>
    </w:p>
    <w:p>
      <w:r>
        <w:rPr>
          <w:b w:val="0"/>
        </w:rPr>
        <w:t>Då i en till betännande för er kandet fogad reservation förutvarande ecklesiastikministern klanpsi su drats för att han ej velat ogilla en av mig företagen ämbetsåtprofessorsgärd, och då kammarens ledamöter ej, enligt min tanke, av vad ämbete. som anförts i reservationen kan få en rätt föreställning om nämnda fråga, anser jag det vara min plikt att lämna en kort framställ-</w:t>
        <w:br/>
        <w:br/>
        <w:t>ning, huru frågan ter sig från min synpunkt.</w:t>
        <w:br/>
        <w:br/>
        <w:t>Jag vill då först säga något om de faktiska förhållandena. Den nyinrättade professuren i teologisk encyklopedi och teologiska prenotioner kungjordes till ansökan ledig i början av 1913. Sedan de sökande av olika skäl återkallat sina ansökningar, anhöllo de akademiska myndigheterna att teologiska fakulteten skulle få använda kallelserätt till denna professur. Redan då var det allom bekant, att man på så sätt hoppades få till platsen en danskfödd man, professorn vid Berlins universitet Lehmann. Kungl.</w:t>
        <w:br/>
        <w:br/>
        <w:t>Maj:t gav sitt tillstånd till denna kallelserätts begagnande genom brev av den 18 juli, men detta brev inkom till kanslersämbetet först den 25 augusti. Från teologiska fakulteten och mindre konsistoriet inkommo omedelbart därefter framställning om förordnande av professor Lehmann att från och med den 1 september under vakansen uppehålla professuren. De svenska vetenskapsmän, som kunnat ifrågakomma, hade antingen förklarat sig ej vilja mottaga ett förordnande, eller voro de upptagna på sådant sätt, att ett förordnande ej lämpligen kunde ifrågakomma.</w:t>
        <w:br/>
        <w:br/>
        <w:t>I detta nödläge ansåg jag mig göra rätt att för höstterminen, eller till dess platsen kunde bliva med ordinarie innehavare besatt, förordna den i eminent mening kompetente professor Lehmann, som ju redan tjänstgjort som sakkunnig för bedömande av sökande till just ifrågavarande professorsbeställning.</w:t>
        <w:br/>
        <w:br/>
        <w:t>Jag hade därvid ingalunda förbisett, att avfattningen av 8 28 regeringsformen, som undantager de teologiska lärartjänsterna vid universiteten från de tjänster, till vilka Konungen kan utnämna utlänningar, kunde föranleda tvekan rörande lagligheten av denna min åtgärd. Men jag ansåg, att det är en stor skillnad mellan ett tillfälligt förordnande och en utnämning till ett ordinarie statsämbete, och jag visste dessutom vid förordnandets meddelande, att professor Lehmann redan till en svensk Jurist inlämnat handlingar för erhållande av svenskt medborgarskap. Jag antog som säkert, med kännedom om professor Lehmanns personlighet, att en sådan ansökan ej kunde annat än bifallas, ett antagande, som visade sig riktigt, då Lehmann redan den 23 september erhöll svenskt medborgarskap.</w:t>
        <w:br/>
        <w:br/>
        <w:t xml:space="preserve">Då nu herrar reservanter anse, att grundlagen blivit kränkt genom det meddelade förordnandet, utgå de tydligen från den satsen att de regler som givits för utnämningar till ordinarie statsämbeten ovillkorligen skola gälla för tillfälliga förordnanden. Det måste dock erkännas, att denna rättsgrundsats i verkligheten ej sällan är utsatt för kränkningar. Undantagsvis har man t. ex. vid förordnande av vikarie till professor nödgats pruta på stadgade kompetensvillkor för innehavare av ordinarie professur. Även från flera andra områden torde exempel kunna framdragas därpå, att till vikarie å ordinarie befattning förordnas personer, vilka icke vare sig i reellt eller formellt hänseende uppfylla de för den ordinarie tjänsten stadgade kompetensfordringarna, till och med sådana, som äro i grundlag stadgade. Jag syftar härvid särskilt på, att fall förekommit, då </w:t>
      </w:r>
      <w:r>
        <w:rPr>
          <w:b/>
        </w:rPr>
        <w:t>kvinnor¹</w:t>
      </w:r>
      <w:r>
        <w:rPr>
          <w:b w:val="0"/>
        </w:rPr>
        <w:t xml:space="preserve"> förordnats att uppehålla lärartjänster vid de allmänna läroverken, detta även före tillkomsten av 1909 års tillägg till $ 28 regeringsformen rörande </w:t>
      </w:r>
      <w:r>
        <w:rPr>
          <w:b/>
        </w:rPr>
        <w:t>kvinnors¹</w:t>
      </w:r>
      <w:r>
        <w:rPr>
          <w:b w:val="0"/>
        </w:rPr>
        <w:t xml:space="preserve"> anställning i statstjänst.</w:t>
        <w:br/>
        <w:br/>
        <w:t>Reservanterna anse sig vidare finna ett stöd för sin uppfattning i vad konstitutionsutskottet vid 1850—51 års riksdag, då det stadgande, varom nu är fråga, infördes i regeringsformen, yttrade. De teologiska universitetslärarbefattningarna jämställdes av utskottet med domare och administratörer. Denna</w:t>
        <w:br/>
        <w:br/>
        <w:t>Ang. förordjämställning beror enligt min mening på att de teologiska</w:t>
        <w:br/>
        <w:br/>
        <w:t>nande för en utlänning att uppehålla ett</w:t>
        <w:br/>
        <w:br/>
        <w:t>professorerna voro, liksom de fortfarande äro, självskrivna ledamöter av domkapitlet i vederbörande universitetsstad, samt att de ärenden, som domkapitlen hava att behandla, till en ej ringa del äro av administrativ och juridisk art. Men detta gäller ordinarie teologie professorer men ej vikarier till sådana befattningar. En vikarierande teologie professor har ej rätt att inträda såsom domkapitelsledamot och har ej ens säte och stämma i fakulteten. I Lund har aldrig — och jag tror att förhållandet är alldeles detsamma i Uppsala — någon vikarie för teologie professor fått inträde som ledamot i domkapitlet och detta ehuru förordnande i regel givits utan någon inskränkning.</w:t>
      </w:r>
    </w:p>
    <w:p>
      <w:pPr>
        <w:pStyle w:val="Heading2"/>
      </w:pPr>
      <w:r>
        <w:t>2. Axel Ekman (Liberala samlingspartiet, man)</w:t>
      </w:r>
    </w:p>
    <w:p>
      <w:r>
        <w:rPr>
          <w:b w:val="0"/>
        </w:rPr>
        <w:t>Jag skall endast be att få erinra om vad justitiekanslern i saken yttrat. Han säger, att det är en allmänt erkänd rättsgrundsats, att samma egenskaper, som krävas av en ordinarie ämbetsman, även skola finnas hos den, som förordnas till vikarie. Om det ock vid förordnande undantagsvis kan vara nödvändigt eftergiva stadgat kompetensvillkor av mindre betydelse, måste det anses uteslutet att eftergiva kompetensvillkor av den vikt, att de fastslagits i grundlag.</w:t>
        <w:br/>
        <w:br/>
        <w:t>Samma tanke har även uttalats av S. A. Hedin i en motion år 1877. Han säger där följande: »Man har trott sig undanrödja hbetänkligheterna genom att blott tillförordna norrmän till befattningar i utrikesdepartementet, men jag förmår ej inse att svårigheten härmed är vorden löst. Väl må det vara sant, att de för utnämning och befordran till ämbeten och tjänster här i landet stadgade särskilda kompetensvillkor i allmänhet ej erfordras vid förordnande. Men från de allmänna kompetensvillkoren — och till dem hör, med de i 28 8 regeringsformen uppräknade undantag, svensk medborgarrätt — torde knappt vid ett förordnande dispens rätteligen kunna äga rum.»</w:t>
        <w:br/>
        <w:br/>
        <w:t>Den av dessa bägge män sålunda uttalade åsikten är också min; det är på denna grund vi gjort anmärkningen.</w:t>
        <w:br/>
        <w:br/>
        <w:t>organisation och verksamhet måtte kunna lämpligast vinnas, samt därefter för riksdagen framlägga de förslag, vartill utredningen kunnat föranleda eller omständigheterna eljest påkallade.</w:t>
      </w:r>
    </w:p>
    <w:p>
      <w:pPr>
        <w:pStyle w:val="Heading2"/>
      </w:pPr>
      <w:r>
        <w:t>3. Aaby Ericsson (Första kammarens nationella parti, man)</w:t>
      </w:r>
    </w:p>
    <w:p>
      <w:r>
        <w:rPr>
          <w:b w:val="0"/>
        </w:rPr>
        <w:t>Herr talman, mina herrar! Här stå vi inför att avlåta en skrivelse som, jag erkänner det villigt, ser oerhört oskyldig ut. Men då jag tror, att den dels icke är så oskyldig som den ser ut, dels är absolut onödig, ber jag att få yttra några ord därom.</w:t>
        <w:br/>
        <w:br/>
        <w:t xml:space="preserve">Som herrarna finna, är detta förslag föranlett av en motion i andra kammaren, i vilken man önskar vissa ändringar med hänsyn till hushållningssällskapens organisation och verksamhet. Jag skall försöka att, såsom min vana är, fatta mig så kort som möjligt. Vad man åsyftar är att demokratisera våra hushållningssällskap. Man vill, att i dessa skola kunna inväljas alla jordbrukare och alla de, som äro intresserade i jordbruket, eller såsom det står närmare redogjort här i andra kammarens utlåtande: »dock bör ingen välfrejdad man eller </w:t>
      </w:r>
      <w:r>
        <w:rPr>
          <w:b/>
        </w:rPr>
        <w:t>kvinna¹</w:t>
      </w:r>
      <w:r>
        <w:rPr>
          <w:b w:val="0"/>
        </w:rPr>
        <w:t>, som av jordbruket eller dess binäringar har sin huvudsakligaste utkomst, efter vederbörlig anmälan kunna förvägras att vinna medlemskap i sitt läns hushållningssällskap». Nu är emellertid förhållandet det, att, som herrarna veta, i hushållningssällskapen årligen inväljas hundratals personer utöver dem, som sedermera verkligen bliva medlemmar; ty ofta nog ha de ej tillräckligt intresse att antaga dessa kallelser. Mig veterligen har det ej förekommit, att personer, på vilka dessa bestämmelser — att de skola vara intresserade i jordbruket — kunnat tillämpas någonsin, om de önskat inträde i sällskapen, blivit utestängda därifrån. Jag anser således en ändring i det syftet vara alldeles onödig.</w:t>
        <w:br/>
        <w:br/>
        <w:t>Sedermera är det ett annat syfte man vill vinna nämligen med avseende å rösträtten. Man har ansett det bättre, att denna verk-</w:t>
        <w:br/>
        <w:br/>
        <w:t>ställdes genom vissa under hushållningssällskapen sorterande underavdelningar, vilka skulle välja ombud, och att dessa ombud skulle ha rösträtt vid stämmorna, under det att deras huvudmän icke skulle ha det. Man vill således frångå den allmänna och direkta rösträttten och införa den indirekta, vilket är ganska märkligt för övrigt i dessa tider; ty jag tror icke, att det i allmänhet kallas att demokratisera. Emellertid tror jag, att det viktigaste är, att dessa organisationer, hushållningssällskapen, få utveckla sig, som de hittills gjort, efter de olika ortsförhållandena. Det finns vissa grundstadgar, som sällskapen själva ansett, att de böra underkasta sig. Dessa finnas hos Kungl. Maj:t och Kungl. Maj:t har därom utfärdat ett kungl. brev år 1910. När nu ett hushållningssällskap vill ha sina stadgar ändrade, komma i regel dessa grundstadgar att där inflyta. Men jag tror, att detta bör utgå från hushållningssällskapen själva, inifrån och utåt, och icke påtvingas sällskapen av statsmakterna. Jag tror det finns en tendens i vår tid, att statsmakterna vilja lägga sig i och tumma på allt möjligt — icke lämna rum för det enskilda initiativet och den enskilda kraften, utan understödja och bära upp allting. Jag tror detta på många håll varit till förfång för en lycklig utveckling.</w:t>
        <w:br/>
        <w:br/>
        <w:t>Jag skall be att få göra ett litet tillägg. Nu säger man, att det endast är tre hushållningssällskap, som sedan 1910 ändrat sina stadgar efter dessa grundstadgar. Då skall jag be att få nämna, att en hel del hushållningssällskap dels hålla på att omarbeta sina stadgar, dels redan ha sådana färdiga till att antaga; och i dessa nya stadgar finnas de restriktioner man nu önskar. Så håller Västerbottens läns hushållningssällskap den dag i dag är att på att granska nya stadgar. Hos Skaraborgs, Kronobergs och, om jag ej misstar mig, även Hallands läns hushållningssällskap vila förslag till nya stadgar på bordet — man väntar endast på vad som beslutes här uppe — och dessa äro, i stort sett, i överensstämmelse med Kungl. Maj:ts grundstadgar. Vidare äro kommittéer tillsatta inom följande hushållningssällskap, nämligen Jönköpings. Kristianstads och Västernorrlands. Slutligen har man inom Värmlands och Göteborgs hugshållningssällskap och ännu ett redan till största delen inrättat sig efter dessa erundstadgar.</w:t>
        <w:br/>
        <w:br/>
        <w:t>| Är det då skäl, herr talman, att besvära Kungl. Maj:t med en skrivelse i detta ärende? För min del anser jag det onödigt och ber därför att få yrka avslag på motionen och skrivelseförslaget.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