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1305</w:t>
      </w:r>
    </w:p>
    <w:p>
      <w:r>
        <w:rPr>
          <w:b/>
        </w:rPr>
        <w:t xml:space="preserve">Datum: </w:t>
      </w:r>
      <w:r>
        <w:t>1915-05-03</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Theodor Zetterstrand (–, man)</w:t>
      </w:r>
    </w:p>
    <w:p>
      <w:r>
        <w:rPr>
          <w:b w:val="0"/>
        </w:rPr>
        <w:t xml:space="preserve">Herr talman! Innan diskussionen avslutas, vill jag tillkännagiva, att min uppfattning i den fråga, som beröres av nu förevarande paragraf, sammanfaller i det närmaste med herr Petterssons i Bjälbo reservation. Jag anser nämligen, i likhet med honom, att det icke är lämpligt, att trolovningsavtalet formbindes. Jag inser å andra sidan mycket väl, att det icke är lagtekniskt behövligt att ge något direktiv för, hur trolovningen bör ske, men jag tror, att det vore förmånligt, särskilt för </w:t>
      </w:r>
      <w:r>
        <w:rPr>
          <w:b/>
        </w:rPr>
        <w:t>kvinnan¹</w:t>
      </w:r>
      <w:r>
        <w:rPr>
          <w:b w:val="0"/>
        </w:rPr>
        <w:t xml:space="preserve">, att </w:t>
      </w:r>
      <w:r>
        <w:rPr>
          <w:b/>
        </w:rPr>
        <w:t>hennes²</w:t>
      </w:r>
      <w:r>
        <w:rPr>
          <w:b w:val="0"/>
        </w:rPr>
        <w:t xml:space="preserve"> uppmärksamhet fästes vid, att den trolovning, som sker, på något sätt är bevislig. Det är därför av lämplighetsskäl, som jag tror, att man bör vidhålla den uppfattningen, att »trolovning är sluten då man och </w:t>
      </w:r>
      <w:r>
        <w:rPr>
          <w:b/>
        </w:rPr>
        <w:t>kvinna¹</w:t>
      </w:r>
      <w:r>
        <w:rPr>
          <w:b w:val="0"/>
        </w:rPr>
        <w:t xml:space="preserve"> med vittnen, ringväxling eller eljest bevisligen överenskommit att ingå äktenskap med varandra».</w:t>
        <w:br/>
        <w:br/>
        <w:t>Jag yrkar sålunda bifall till herr Petterssons i Bjälbo reservation.</w:t>
      </w:r>
    </w:p>
    <w:p>
      <w:pPr>
        <w:pStyle w:val="Heading2"/>
      </w:pPr>
      <w:r>
        <w:t>2. Gustaf Albert Petersson (Lantmanna- och borgarepartiet inom andrakammaren, man)</w:t>
      </w:r>
    </w:p>
    <w:p>
      <w:r>
        <w:rPr>
          <w:b w:val="0"/>
        </w:rPr>
        <w:t>Herr talman, mina herrar! Utskottet har i denna paragraf vidtagit en ändring, som är ganska olyckligt tillkommen och som också föranlett mycket starka reservationer inom utskottet. Det är nämligen så, att åtta ledamöter av utskottet, däribland även en från den liberala sidan, anmält sitt missnöje mot utskottets beslut.</w:t>
        <w:br/>
        <w:br/>
        <w:t xml:space="preserve">Det gäller i denna paragraf frågan om det skadestånd, som lagförslaget vill bereda en </w:t>
      </w:r>
      <w:r>
        <w:rPr>
          <w:b/>
        </w:rPr>
        <w:t>kvinna¹</w:t>
      </w:r>
      <w:r>
        <w:rPr>
          <w:b w:val="0"/>
        </w:rPr>
        <w:t xml:space="preserve">, som under trolovningstiden blivit hävdad av mannen, men sedan av honom övergivits. Om trolovningen brytes, och mannen huvudsakligen bär skulden därtill, så skall han ge </w:t>
      </w:r>
      <w:r>
        <w:rPr>
          <w:b/>
        </w:rPr>
        <w:t>henne²</w:t>
      </w:r>
      <w:r>
        <w:rPr>
          <w:b w:val="0"/>
        </w:rPr>
        <w:t xml:space="preserve"> skäligt skadestånd, står det i lagförslaget. Nu har utskottet ändrat detta därhän, att </w:t>
      </w:r>
      <w:r>
        <w:rPr>
          <w:b/>
        </w:rPr>
        <w:t>kvinnan¹</w:t>
      </w:r>
      <w:r>
        <w:rPr>
          <w:b w:val="0"/>
        </w:rPr>
        <w:t xml:space="preserve"> skall få sådant skadestånd endast ifall </w:t>
      </w:r>
      <w:r>
        <w:rPr>
          <w:b/>
        </w:rPr>
        <w:t>hon²</w:t>
      </w:r>
      <w:r>
        <w:rPr>
          <w:b w:val="0"/>
        </w:rPr>
        <w:t xml:space="preserve"> blivit »rådd med barn». Skälet härtill skall vara, efter vad det uppgavs inom utskottet, en petition av </w:t>
      </w:r>
      <w:r>
        <w:rPr>
          <w:b/>
        </w:rPr>
        <w:t>kvinnor¹</w:t>
      </w:r>
      <w:r>
        <w:rPr>
          <w:b w:val="0"/>
        </w:rPr>
        <w:t xml:space="preserve">, som vilja ha bort bestämmelsen, sådan den föreligger i Kungl. Maj:ts förslag, av den anledning, att de tro, att denna rätt till skadeersättning skulle kunna missförstås. Utskottet har i anslutning till denna uppfattning motiverat ändringen därmed att det synes »utskottet riktigare, att den strängare rättsföljden av brytningen inträder allenast om </w:t>
      </w:r>
      <w:r>
        <w:rPr>
          <w:b/>
        </w:rPr>
        <w:t>kvinnan¹</w:t>
      </w:r>
      <w:r>
        <w:rPr>
          <w:b w:val="0"/>
        </w:rPr>
        <w:t xml:space="preserve"> blivit rådd med barn.</w:t>
        <w:br/>
        <w:br/>
        <w:t xml:space="preserve">Förslagets ståndpunkt kunde nämligen av menige man missuppfattas därhän, att det skadestånd, varom här är fråga, skulle avse att utgöra ersättning för könsumgänget, och att här förelåge ett utslag 1 lagstiftningen av vad man plägar kalla den dubbla könsmoralen.» Detta är alltså orsaken till att utskottet ändrat paragrafen. Detta är emellertid, som jag sade, mycket olyckligt, ty härigenom förryckes helt och hållet uppfattningen om innebörden och betydelsen av det skadestånd, som lagförslaget velat tillerkänna </w:t>
      </w:r>
      <w:r>
        <w:rPr>
          <w:b/>
        </w:rPr>
        <w:t>kvinnan¹</w:t>
      </w:r>
      <w:r>
        <w:rPr>
          <w:b w:val="0"/>
        </w:rPr>
        <w:t xml:space="preserve">. Det har nämligen varit lagförslagets avsikt, att </w:t>
      </w:r>
      <w:r>
        <w:rPr>
          <w:b/>
        </w:rPr>
        <w:t>kvinnan¹</w:t>
      </w:r>
      <w:r>
        <w:rPr>
          <w:b w:val="0"/>
        </w:rPr>
        <w:t xml:space="preserve"> skall få ersättning icke allenast för lidande och den materiella skadan utan även för den ideella skada, som </w:t>
      </w:r>
      <w:r>
        <w:rPr>
          <w:b/>
        </w:rPr>
        <w:t>hon²</w:t>
      </w:r>
      <w:r>
        <w:rPr>
          <w:b w:val="0"/>
        </w:rPr>
        <w:t xml:space="preserve"> tillfogas, därigenom att en sådan förbindelse som denna brytes. Men detta begrepp förryckes, om utskottets förslag antages, därhän att skadeståndet får karaktären av att vara en ersättning för </w:t>
      </w:r>
      <w:r>
        <w:rPr>
          <w:b/>
        </w:rPr>
        <w:t>kvinnans¹</w:t>
      </w:r>
      <w:r>
        <w:rPr>
          <w:b w:val="0"/>
        </w:rPr>
        <w:t xml:space="preserve"> lidande och omkostnader vid barnsbörden och ingenting vidare. Om man ser saken, sådan den verkligen föreligger, är det således så långt ifrån i </w:t>
      </w:r>
      <w:r>
        <w:rPr>
          <w:b/>
        </w:rPr>
        <w:t>kvinnans¹</w:t>
      </w:r>
      <w:r>
        <w:rPr>
          <w:b w:val="0"/>
        </w:rPr>
        <w:t xml:space="preserve"> intresse, att denna förändring sker, att det tvärt om skulle vara </w:t>
      </w:r>
      <w:r>
        <w:rPr>
          <w:b/>
        </w:rPr>
        <w:t>henne²</w:t>
      </w:r>
      <w:r>
        <w:rPr>
          <w:b w:val="0"/>
        </w:rPr>
        <w:t xml:space="preserve"> till skada. Som jag nämnde ha därför också många reservanter anmält sig, vilka anse, att Kungl. Maj:ts förslag i denna del är bättre.</w:t>
        <w:br/>
        <w:br/>
        <w:t>Jag skall icke vidare inlåta mig på saken, då skälen för att Kungl. Maj:ts förslag har företräde här ligga i öppen dag, utan jag skall inskränka mig till att yrka avslag å lagutskottets förslag till lydelse av denna paragraf och bifall till Kungl. Maj:ts förslag oförändrat.</w:t>
      </w:r>
    </w:p>
    <w:p>
      <w:pPr>
        <w:pStyle w:val="Heading2"/>
      </w:pPr>
      <w:r>
        <w:t>3. Wilhelm Hellberg (Lantmanna- och borgarepartiet inom andrakammaren, man)</w:t>
      </w:r>
    </w:p>
    <w:p>
      <w:r>
        <w:rPr>
          <w:b w:val="0"/>
        </w:rPr>
        <w:t xml:space="preserve">Herr talman, mina herrar! Jag har vid denna punkt i min motion gjort den hemställan, att trolovad </w:t>
      </w:r>
      <w:r>
        <w:rPr>
          <w:b/>
        </w:rPr>
        <w:t>kvinna¹</w:t>
      </w:r>
      <w:r>
        <w:rPr>
          <w:b w:val="0"/>
        </w:rPr>
        <w:t xml:space="preserve">, med undantag för vissa i motionens motivering uppgivna fall, må stadgas vara berättigad till ersättning för den ideella och ekonomiska skada, som genom trolovningens brytande för </w:t>
      </w:r>
      <w:r>
        <w:rPr>
          <w:b/>
        </w:rPr>
        <w:t>henne²</w:t>
      </w:r>
      <w:r>
        <w:rPr>
          <w:b w:val="0"/>
        </w:rPr>
        <w:t xml:space="preserve"> uppstått, och detta oavsett om ett sådant fall föreligger, där hävdande av </w:t>
      </w:r>
      <w:r>
        <w:rPr>
          <w:b/>
        </w:rPr>
        <w:t>kvinnan¹</w:t>
      </w:r>
      <w:r>
        <w:rPr>
          <w:b w:val="0"/>
        </w:rPr>
        <w:t xml:space="preserve"> under trolovningstiden förekommit. Jag har i motiveringen erkänt, att ideell skada, djupt sett, svårligen låter sig ersätta genom materiella medel, men det torde dock knappast vara försvarligt att, som det i lagförslaget sker, taga hänsyn uteslutande till den grova gärningen, hävdande av </w:t>
      </w:r>
      <w:r>
        <w:rPr>
          <w:b/>
        </w:rPr>
        <w:t>kvinnan¹</w:t>
      </w:r>
      <w:r>
        <w:rPr>
          <w:b w:val="0"/>
        </w:rPr>
        <w:t xml:space="preserve"> under löfte om äktenskap, men ej på något sätt stämpla såsom brottsligt att bryta ett givet löfte. Det är att taga bra liten hänsyn till själslivets känslor och stämningar, att ej erkänna, att en kränkning av svåraste slag kan föreligga genom brytandet av trolovning, utan att den nämnda grova gärningen förekommit. Kan man verkligen anse, att en </w:t>
      </w:r>
      <w:r>
        <w:rPr>
          <w:b/>
        </w:rPr>
        <w:t>kvinna¹</w:t>
      </w:r>
      <w:r>
        <w:rPr>
          <w:b w:val="0"/>
        </w:rPr>
        <w:t xml:space="preserve"> i senare fallet skulle vara mindre värdig lagens skydd och omvårdnad? Kan ej den djupa kränkning, som brytandet av en trolovning i många fall innebär, förorsaka ett lidande, tillräckligt stort för att beaktas och genom straffpåföljd, ersättningsskyldighet för den felande, stämplas såsom något orätt? Kan ej redan den ideella kränkningen vålla så djup sorg, att sjukdom följer? Erfarenheten bekräftar detta allför väl.</w:t>
        <w:br/>
        <w:br/>
        <w:t xml:space="preserve">Därmed kan även följa ett försvårande av förvärvsmöjligheterna. Såsom ett hårt slag för en </w:t>
      </w:r>
      <w:r>
        <w:rPr>
          <w:b/>
        </w:rPr>
        <w:t>kvinna¹</w:t>
      </w:r>
      <w:r>
        <w:rPr>
          <w:b w:val="0"/>
        </w:rPr>
        <w:t xml:space="preserve"> må väl även räknas att se det löfte, </w:t>
      </w:r>
      <w:r>
        <w:rPr>
          <w:b/>
        </w:rPr>
        <w:t>hon²</w:t>
      </w:r>
      <w:r>
        <w:rPr>
          <w:b w:val="0"/>
        </w:rPr>
        <w:t xml:space="preserve"> mottagit, utan vidare brytas, kanske alldeles utan skuld å </w:t>
      </w:r>
      <w:r>
        <w:rPr>
          <w:b/>
        </w:rPr>
        <w:t>hennes²</w:t>
      </w:r>
      <w:r>
        <w:rPr>
          <w:b w:val="0"/>
        </w:rPr>
        <w:t xml:space="preserve"> sida, och att se sina framtidsförhoppningar i ett slag förintas. Det är dock onekligt, att en </w:t>
      </w:r>
      <w:r>
        <w:rPr>
          <w:b/>
        </w:rPr>
        <w:t>kvinna¹</w:t>
      </w:r>
      <w:r>
        <w:rPr>
          <w:b w:val="0"/>
        </w:rPr>
        <w:t xml:space="preserve">, som varit förlovad och fått sin förbindelse bruten, i många fall har minskade utsikter att få ett eget hem. Om nu lagförslaget stadgat ersättningsskyldighet i vissa fall för brytande av sådant trohetslöfte, så hade detta i sig inneburit en viss upprättelse för den ideella kränkning, som ett dylikt löftesbrott innebär, även om </w:t>
      </w:r>
      <w:r>
        <w:rPr>
          <w:b/>
        </w:rPr>
        <w:t>kvinnan¹</w:t>
      </w:r>
      <w:r>
        <w:rPr>
          <w:b w:val="0"/>
        </w:rPr>
        <w:t>, som jag visst tror bleve fallet, ej begagnade sig av en sådan rätt. ÅR skulle ock ställa mannens skyldighet för honom i en skarpare</w:t>
        <w:br/>
        <w:br/>
        <w:t>” Som saken nu ligger, vore det gagnlöst att framställa något yrkande. Jag avstår därför därifrån, men har likväl ansett mig hava rätt och skäl att fästa uppmärksamheten vid saken.</w:t>
      </w:r>
    </w:p>
    <w:p>
      <w:pPr>
        <w:pStyle w:val="Heading2"/>
      </w:pPr>
      <w:r>
        <w:t>4. Jakob Pettersson (Liberala riksdagspartiet, man)</w:t>
      </w:r>
    </w:p>
    <w:p>
      <w:r>
        <w:rPr>
          <w:b w:val="0"/>
        </w:rPr>
        <w:t xml:space="preserve">Herr talman, mina herrar! Lagutskottets ordförande har yrkat bifall till sin reservation, som imnebär, att skadestånd skulle tillerkännas </w:t>
      </w:r>
      <w:r>
        <w:rPr>
          <w:b/>
        </w:rPr>
        <w:t>kvinna¹</w:t>
      </w:r>
      <w:r>
        <w:rPr>
          <w:b w:val="0"/>
        </w:rPr>
        <w:t xml:space="preserve">, som blivit hävdad under trolovningstiden, även för det fall att </w:t>
      </w:r>
      <w:r>
        <w:rPr>
          <w:b/>
        </w:rPr>
        <w:t>hon²</w:t>
      </w:r>
      <w:r>
        <w:rPr>
          <w:b w:val="0"/>
        </w:rPr>
        <w:t xml:space="preserve"> därigenom icke blivit havande. Denna reservation överensstämmer med lagberedningens och Kungl. Maj:ts förslag, vilka även gå ut på att ur rättssystemet utmönstra den anordning, som i nu gällande lagstiftning avser att säkerställa </w:t>
      </w:r>
      <w:r>
        <w:rPr>
          <w:b/>
        </w:rPr>
        <w:t>kvinnan¹</w:t>
      </w:r>
      <w:r>
        <w:rPr>
          <w:b w:val="0"/>
        </w:rPr>
        <w:t xml:space="preserve"> under dylika förhållanden, nämligen de ofullkomnade äktenskapen. Jag vill nu icke ge mig in på frågan, huruvida detta är välbetänkt eller ej; det få vi anledning att tala om, när vi sedan komma till promulgationslagen. Däremot skall jag uppehålla mig något vid den gottgörelse till </w:t>
      </w:r>
      <w:r>
        <w:rPr>
          <w:b/>
        </w:rPr>
        <w:t>kvinnan¹</w:t>
      </w:r>
      <w:r>
        <w:rPr>
          <w:b w:val="0"/>
        </w:rPr>
        <w:t xml:space="preserve"> som enligt lagberedningens och Kungl. Maj:ts förslag liksom enligt reservationen skall träda i stället. Det är en rätt till skadestånd. Detta skadestånd skulle avse, att, när trolovningen brytes, gottgöra först och främst den direkta ekonomiska förlust </w:t>
      </w:r>
      <w:r>
        <w:rPr>
          <w:b/>
        </w:rPr>
        <w:t>kvinnan¹</w:t>
      </w:r>
      <w:r>
        <w:rPr>
          <w:b w:val="0"/>
        </w:rPr>
        <w:t xml:space="preserve"> under dylika omständigheter kan lida. Vidare skulle </w:t>
      </w:r>
      <w:r>
        <w:rPr>
          <w:b/>
        </w:rPr>
        <w:t>hon²</w:t>
      </w:r>
      <w:r>
        <w:rPr>
          <w:b w:val="0"/>
        </w:rPr>
        <w:t xml:space="preserve"> därigenom ersättas för det lidande, den ideella skada, som av samma anledning kan hava åsamkats </w:t>
      </w:r>
      <w:r>
        <w:rPr>
          <w:b/>
        </w:rPr>
        <w:t>henne²</w:t>
      </w:r>
      <w:r>
        <w:rPr>
          <w:b w:val="0"/>
        </w:rPr>
        <w:t xml:space="preserve">. Även skulle därigenom beredas </w:t>
      </w:r>
      <w:r>
        <w:rPr>
          <w:b/>
        </w:rPr>
        <w:t>henne²</w:t>
      </w:r>
      <w:r>
        <w:rPr>
          <w:b w:val="0"/>
        </w:rPr>
        <w:t xml:space="preserve"> gottgörelse för </w:t>
      </w:r>
      <w:r>
        <w:rPr>
          <w:b/>
        </w:rPr>
        <w:t>hennes²</w:t>
      </w:r>
      <w:r>
        <w:rPr>
          <w:b w:val="0"/>
        </w:rPr>
        <w:t xml:space="preserve"> minskade arbetsförmåga till följd av havandeskapet. Och slutligen — nu kommer jag till vad det här egentligen gäller — skulle </w:t>
      </w:r>
      <w:r>
        <w:rPr>
          <w:b/>
        </w:rPr>
        <w:t>hon²</w:t>
      </w:r>
      <w:r>
        <w:rPr>
          <w:b w:val="0"/>
        </w:rPr>
        <w:t xml:space="preserve"> få ersättning för den vanära, som genom lägersmålet tillfogats </w:t>
      </w:r>
      <w:r>
        <w:rPr>
          <w:b/>
        </w:rPr>
        <w:t>henne²</w:t>
      </w:r>
      <w:r>
        <w:rPr>
          <w:b w:val="0"/>
        </w:rPr>
        <w:t>.</w:t>
        <w:br/>
        <w:br/>
        <w:t xml:space="preserve">Då förslaget sålunda tillerkänner </w:t>
      </w:r>
      <w:r>
        <w:rPr>
          <w:b/>
        </w:rPr>
        <w:t>kvinnan¹</w:t>
      </w:r>
      <w:r>
        <w:rPr>
          <w:b w:val="0"/>
        </w:rPr>
        <w:t xml:space="preserve"> ersättning för den vanära </w:t>
      </w:r>
      <w:r>
        <w:rPr>
          <w:b/>
        </w:rPr>
        <w:t>hon²</w:t>
      </w:r>
      <w:r>
        <w:rPr>
          <w:b w:val="0"/>
        </w:rPr>
        <w:t xml:space="preserve"> lider genom själva lägersmålet men givetvis icke tillerkänner mannen något skadestånd under motsvarande förhållanden, så kan det ju ligga nära till hands att häri se ett särskilt gynnande av </w:t>
      </w:r>
      <w:r>
        <w:rPr>
          <w:b/>
        </w:rPr>
        <w:t>kvinnan¹</w:t>
      </w:r>
      <w:r>
        <w:rPr>
          <w:b w:val="0"/>
        </w:rPr>
        <w:t xml:space="preserve">, och mången torde nog därför i denna bestämmelse vilja finna ett uttryck för lagstiftarens särskilda ömsinthet om </w:t>
      </w:r>
      <w:r>
        <w:rPr>
          <w:b/>
        </w:rPr>
        <w:t>henne²</w:t>
      </w:r>
      <w:r>
        <w:rPr>
          <w:b w:val="0"/>
        </w:rPr>
        <w:t xml:space="preserve"> såsom den svagare parten. Det lider väl icke heller något tvivel, att de ärade herrar, som framburit förslaget,</w:t>
        <w:br/>
        <w:br/>
        <w:t xml:space="preserve">därvid varit ledda av de allra bästa bevekelsegrunder och verkligen trott sig därigenom göra </w:t>
      </w:r>
      <w:r>
        <w:rPr>
          <w:b/>
        </w:rPr>
        <w:t>kvinnan¹</w:t>
      </w:r>
      <w:r>
        <w:rPr>
          <w:b w:val="0"/>
        </w:rPr>
        <w:t xml:space="preserve"> en tjänst.</w:t>
        <w:br/>
        <w:br/>
        <w:t xml:space="preserve">Emellertid har det inträffat, att </w:t>
      </w:r>
      <w:r>
        <w:rPr>
          <w:b/>
        </w:rPr>
        <w:t>kvinnorna¹</w:t>
      </w:r>
      <w:r>
        <w:rPr>
          <w:b w:val="0"/>
        </w:rPr>
        <w:t xml:space="preserve"> själva i ganska stor utsträckning, både äldre och yngre </w:t>
      </w:r>
      <w:r>
        <w:rPr>
          <w:b/>
        </w:rPr>
        <w:t>kvinnor¹</w:t>
      </w:r>
      <w:r>
        <w:rPr>
          <w:b w:val="0"/>
        </w:rPr>
        <w:t xml:space="preserve"> och </w:t>
      </w:r>
      <w:r>
        <w:rPr>
          <w:b/>
        </w:rPr>
        <w:t>kvinnor¹</w:t>
      </w:r>
      <w:r>
        <w:rPr>
          <w:b w:val="0"/>
        </w:rPr>
        <w:t xml:space="preserve"> i olika samhällsklasser, mycket bestämt protesterat mot att deras kön skall bliva föremål för en sådan välvilja, och ett sådant privilegium. Och granskar man närmare denna bestämmelses innebörd, så tror jag också, att man skall finna, att den i grund och botten icke är så gynnsam för </w:t>
      </w:r>
      <w:r>
        <w:rPr>
          <w:b/>
        </w:rPr>
        <w:t>kvinnorna¹</w:t>
      </w:r>
      <w:r>
        <w:rPr>
          <w:b w:val="0"/>
        </w:rPr>
        <w:t xml:space="preserve">, som den vid första påseendet kan tyckas vara. Ty vad innebär det, att </w:t>
      </w:r>
      <w:r>
        <w:rPr>
          <w:b/>
        </w:rPr>
        <w:t>kvinnan¹</w:t>
      </w:r>
      <w:r>
        <w:rPr>
          <w:b w:val="0"/>
        </w:rPr>
        <w:t xml:space="preserve">, men icke mannen skulle få skadeersättning för den vanära, som förorsakas genom lägersmålet? Jo, naturligtvis ingenting annat, än att </w:t>
      </w:r>
      <w:r>
        <w:rPr>
          <w:b/>
        </w:rPr>
        <w:t>kvinnan¹</w:t>
      </w:r>
      <w:r>
        <w:rPr>
          <w:b w:val="0"/>
        </w:rPr>
        <w:t xml:space="preserve">, men icke mannen, vanäras genom lägersmålet. Nu vill jag ingalunda bestrida, att en sådan dom uppbäres av en mycket utbredd åskådning; ja, man kanske till och med kan säga, att den är ett uttryck för den s. k. allmänna meningen. Jag vill här icke alls inlåta mig på att undersöka, hur en sådan mening uppkommit, och icke heller skall jag försöka utreda, huruvida den är riktig och human och rättvis eller ej. Jag vill endast konstatera, att en sådan uppfattning utgår från den satsen, att samma sak, könsumgänget, skämmer </w:t>
      </w:r>
      <w:r>
        <w:rPr>
          <w:b/>
        </w:rPr>
        <w:t>kvinnan¹</w:t>
      </w:r>
      <w:r>
        <w:rPr>
          <w:b w:val="0"/>
        </w:rPr>
        <w:t xml:space="preserve">, men icke skämmer mannen, varför denna åskädning också benämnts den dubbla könsmoralen. Vidare vill jag konstatera, att denna moral i vårt samhälle framträder i många former och vid många tillfällen, men i all synnerhet klart och tydligt i den företeelse, som är känd under namnet prostitutionen. Vid denna tillgår nämligen så, att </w:t>
      </w:r>
      <w:r>
        <w:rPr>
          <w:b/>
        </w:rPr>
        <w:t>kvinnan¹</w:t>
      </w:r>
      <w:r>
        <w:rPr>
          <w:b w:val="0"/>
        </w:rPr>
        <w:t xml:space="preserve"> av underklass till sin egen vanära säljer sig, samt mannen, i regel av överklass, utan vanära för sig köper </w:t>
      </w:r>
      <w:r>
        <w:rPr>
          <w:b/>
        </w:rPr>
        <w:t>henne²</w:t>
      </w:r>
      <w:r>
        <w:rPr>
          <w:b w:val="0"/>
        </w:rPr>
        <w:t>.</w:t>
        <w:br/>
        <w:br/>
        <w:t xml:space="preserve">På grund härav tror jag, att man i likhet med lagutskottet kan antaga, att, ifall lagen skulle uttryckligen tillerkänna </w:t>
      </w:r>
      <w:r>
        <w:rPr>
          <w:b/>
        </w:rPr>
        <w:t>kvinnan¹</w:t>
      </w:r>
      <w:r>
        <w:rPr>
          <w:b w:val="0"/>
        </w:rPr>
        <w:t xml:space="preserve">, men icke mannen skadeersättning under dylika förhållanden, menige man i en sådan bestämmelse skulle komma att se ett slags sanktion av den dubbla könsmoralen. Ja, man kan befara, att allmänheten, med dess benägenhet att förgrova allt möjligt, skulle i en sådan lagstiftning rent av vilja se ett fastslående av </w:t>
      </w:r>
      <w:r>
        <w:rPr>
          <w:b/>
        </w:rPr>
        <w:t>kvinnans¹</w:t>
      </w:r>
      <w:r>
        <w:rPr>
          <w:b w:val="0"/>
        </w:rPr>
        <w:t xml:space="preserve"> lagliga rätt till penningersättning för könsumgänge. Om det sedan, såsom lagberedningen i sina motiv mycket riktigt antyder, när det gäller att tillämpa denna bestämmelse, bleve så, att beloppet av skadeersättningen komme att utmätas med hänsyn till alla förhållanden i målet, däribland särskilt också den omständigheten, huruvida </w:t>
      </w:r>
      <w:r>
        <w:rPr>
          <w:b/>
        </w:rPr>
        <w:t>kvinnan¹</w:t>
      </w:r>
      <w:r>
        <w:rPr>
          <w:b w:val="0"/>
        </w:rPr>
        <w:t xml:space="preserve"> förut visat sig rädd om sitt rykte eller ej, så tror jag, att det nog icke skulle dröja många år, förrän allmänheten, fortfarande på grund av sin benägenhet att förgrova, skulle komma att i domstolarnas praxis vilja finna ett slags taxa för den kontanta ersättningen för könsumgänge.</w:t>
        <w:br/>
        <w:br/>
        <w:t>Jag vill ingalunda klandra de ärade herrarna i lagberedningen eller herr justitieministern för att de ha föreslagit en lag, som möjligen skulle kunna få sådana konsekvenser, men å andra sidan tycker jag, att det nog också blir svårt att allvarligt klandra all-</w:t>
        <w:br/>
        <w:br/>
        <w:t>mänheten, om den drar dessa slutsatser av en sådan lagstiftning. Icke heller vill jag, som sagt, nu taga upp någon diskussion om den dubbla könsmoralen. Den är förklarlig, och naturlig och det är möjligt, att den på sätt och vis är nyttig; den saken skall jag icke nu vidröra. Men ett vill jag säga, och det är: vilken ståndpunkt vi för övrigt må intaga 1 politiskt och kyrkligt avseende, så borde vi kunna vara överens därom, att Sveriges rikes lag icke bör sanktionera någon dubbel moral för sina medborgare.</w:t>
        <w:br/>
        <w:br/>
        <w:t xml:space="preserve">Jag är därför övertygad, att lagutskottet handlat fullt riktigt, dä det avstyrkt förslaget, att </w:t>
      </w:r>
      <w:r>
        <w:rPr>
          <w:b/>
        </w:rPr>
        <w:t>kvinnan¹</w:t>
      </w:r>
      <w:r>
        <w:rPr>
          <w:b w:val="0"/>
        </w:rPr>
        <w:t xml:space="preserve"> skulle få ersättnin för den skada, som åsamkats </w:t>
      </w:r>
      <w:r>
        <w:rPr>
          <w:b/>
        </w:rPr>
        <w:t>henne²</w:t>
      </w:r>
      <w:r>
        <w:rPr>
          <w:b w:val="0"/>
        </w:rPr>
        <w:t xml:space="preserve"> genom könsumgänget i oc för sig, och jag tror, att det är riktigt, att lagutskottet inskränkt rätten till skadestånd endast till det fall, att </w:t>
      </w:r>
      <w:r>
        <w:rPr>
          <w:b/>
        </w:rPr>
        <w:t>kvinnan¹</w:t>
      </w:r>
      <w:r>
        <w:rPr>
          <w:b w:val="0"/>
        </w:rPr>
        <w:t xml:space="preserve"> blivit havande. Har </w:t>
      </w:r>
      <w:r>
        <w:rPr>
          <w:b/>
        </w:rPr>
        <w:t>hon²</w:t>
      </w:r>
      <w:r>
        <w:rPr>
          <w:b w:val="0"/>
        </w:rPr>
        <w:t xml:space="preserve"> blivit havande, så har </w:t>
      </w:r>
      <w:r>
        <w:rPr>
          <w:b/>
        </w:rPr>
        <w:t>hon²</w:t>
      </w:r>
      <w:r>
        <w:rPr>
          <w:b w:val="0"/>
        </w:rPr>
        <w:t xml:space="preserve"> utsatts för en hel del obehag, som icke drabba mannen. Till de fysiska krämporna och olyckan att ogift, ensam och övergiven föda barn, kommer också minskning i arbetsförmågan genom havandeskapet och barnsbörden. Det är därför på sin plats, att </w:t>
      </w:r>
      <w:r>
        <w:rPr>
          <w:b/>
        </w:rPr>
        <w:t>hon²</w:t>
      </w:r>
      <w:r>
        <w:rPr>
          <w:b w:val="0"/>
        </w:rPr>
        <w:t xml:space="preserve"> i händelse av havandeskap får ersättning i penningar.</w:t>
        <w:br/>
        <w:br/>
        <w:t xml:space="preserve">Jag vill i detta sammanhang tillägga, att om riksdagen accepterar derma lagutskottets uppfattning, kommer den svenska lagen på ifrågavarande punkt ej blott att nära överensstämma med det danska parallellförslaget, utan även att närma sig den norska lagstiftningen. Den norska strafflagen innehåller nämligen den bestämmelsen, att om en man, efter att ha lockat en </w:t>
      </w:r>
      <w:r>
        <w:rPr>
          <w:b/>
        </w:rPr>
        <w:t>kvinna¹</w:t>
      </w:r>
      <w:r>
        <w:rPr>
          <w:b w:val="0"/>
        </w:rPr>
        <w:t xml:space="preserve"> till lägersmål genom trolovning eller äktenskapslöfte, sedan utan skäl avbryter förbindelsen med </w:t>
      </w:r>
      <w:r>
        <w:rPr>
          <w:b/>
        </w:rPr>
        <w:t>henne²</w:t>
      </w:r>
      <w:r>
        <w:rPr>
          <w:b w:val="0"/>
        </w:rPr>
        <w:t xml:space="preserve">, han ej blott drabbas av fängelsestraff, utan även blir skyldig att giva </w:t>
      </w:r>
      <w:r>
        <w:rPr>
          <w:b/>
        </w:rPr>
        <w:t>kvinnan¹</w:t>
      </w:r>
      <w:r>
        <w:rPr>
          <w:b w:val="0"/>
        </w:rPr>
        <w:t xml:space="preserve"> skadestånd, nota bene, om havandeskap inträtt. Det är således en ståndpunkt, som har nära frändskap med den som lagutskottets majoritet här intagit.</w:t>
        <w:br/>
        <w:br/>
        <w:t xml:space="preserve">5 Mot lagutskottets förslag i denna del har reservation avgivits av ett flertal medlemmar, bland dem också lagutskottets ärade ordförande. Jag är emellertid glad att kunna konstatera, att lagutskottets ordförande utan omsvep erkänner, att den skadeståndsrätt som i reservationen påyrkas, i regel nog icke skulle komma att anlitas av </w:t>
      </w:r>
      <w:r>
        <w:rPr>
          <w:b/>
        </w:rPr>
        <w:t>kvinnor¹</w:t>
      </w:r>
      <w:r>
        <w:rPr>
          <w:b w:val="0"/>
        </w:rPr>
        <w:t xml:space="preserve"> i andra fall, än då havandeskap följt på lägersmålet. Med denna uppfattning anser jag fastslaget, att skadeståndsrätten för själva könsumgänget icke skulle bliva av så synnerligt stor praktisk betydelse. I själva verket, mina herrar, om vi fullfölja tankegången i herr Albert Peterssons reservation, så kan det frågas: vilka </w:t>
      </w:r>
      <w:r>
        <w:rPr>
          <w:b/>
        </w:rPr>
        <w:t>kvinnor¹</w:t>
      </w:r>
      <w:r>
        <w:rPr>
          <w:b w:val="0"/>
        </w:rPr>
        <w:t xml:space="preserve"> skulle komma att begära skadestånd endast för den vanära, som åsamkats dem på grund av själva lägersmålet? Ar det troligt, att de mera oskyldiga och oerfarna </w:t>
      </w:r>
      <w:r>
        <w:rPr>
          <w:b/>
        </w:rPr>
        <w:t>kvinnorna¹</w:t>
      </w:r>
      <w:r>
        <w:rPr>
          <w:b w:val="0"/>
        </w:rPr>
        <w:t xml:space="preserve"> skulle vilja skaffa sig penningar genom att bringa inför offentligheten intima förhållanden, som kanske eljest aldrig skulle bliva kända. Jag tror det icke.</w:t>
        <w:br/>
        <w:br/>
        <w:t xml:space="preserve">Nu söka visserligen reservanterna försvara sin ståndpunkt med att </w:t>
      </w:r>
      <w:r>
        <w:rPr>
          <w:b/>
        </w:rPr>
        <w:t>kvinnan¹</w:t>
      </w:r>
      <w:r>
        <w:rPr>
          <w:b w:val="0"/>
        </w:rPr>
        <w:t xml:space="preserve"> i allt fall skulle få större ersättning, om paragrafen</w:t>
        <w:br/>
        <w:br/>
        <w:t xml:space="preserve">formulerades enligt deras önskan och herr Albert Petersson har härvidlag särskilt framhållit, att det undantagsvis kunde vara ändamålsenligt att även giva hävdad, men icke havande </w:t>
      </w:r>
      <w:r>
        <w:rPr>
          <w:b/>
        </w:rPr>
        <w:t>kvinna¹</w:t>
      </w:r>
      <w:r>
        <w:rPr>
          <w:b w:val="0"/>
        </w:rPr>
        <w:t xml:space="preserve"> ersättning för själva lägersmålet. Såsom exempel härpå anför han det fallet, att trolovad </w:t>
      </w:r>
      <w:r>
        <w:rPr>
          <w:b/>
        </w:rPr>
        <w:t>kvinna¹</w:t>
      </w:r>
      <w:r>
        <w:rPr>
          <w:b w:val="0"/>
        </w:rPr>
        <w:t xml:space="preserve"> av mannen åsamkats smittosam könssjukdom: "i sådant fall anser han, att det skulle vara lämpligt att kunna giva </w:t>
      </w:r>
      <w:r>
        <w:rPr>
          <w:b/>
        </w:rPr>
        <w:t>henne²</w:t>
      </w:r>
      <w:r>
        <w:rPr>
          <w:b w:val="0"/>
        </w:rPr>
        <w:t xml:space="preserve"> ersättning för själva lägersmålet. Denna invändning förefaller ju ganska befogad, men är i själva verket icke av den betydelse, reservanten förmenar. Låt oss utgå från att det vore riktigt, att en sådan </w:t>
      </w:r>
      <w:r>
        <w:rPr>
          <w:b/>
        </w:rPr>
        <w:t>kvinna¹</w:t>
      </w:r>
      <w:r>
        <w:rPr>
          <w:b w:val="0"/>
        </w:rPr>
        <w:t xml:space="preserve"> finge ersättning, då tala även starka skäl för att en icke trolovad </w:t>
      </w:r>
      <w:r>
        <w:rPr>
          <w:b/>
        </w:rPr>
        <w:t>kvinna¹</w:t>
      </w:r>
      <w:r>
        <w:rPr>
          <w:b w:val="0"/>
        </w:rPr>
        <w:t xml:space="preserve">, som blivit på detta sätt behäftad med smittosam könssjukdom, också tillerkännes ersättning av den man, som påfört </w:t>
      </w:r>
      <w:r>
        <w:rPr>
          <w:b/>
        </w:rPr>
        <w:t>henne²</w:t>
      </w:r>
      <w:r>
        <w:rPr>
          <w:b w:val="0"/>
        </w:rPr>
        <w:t xml:space="preserve"> smitta. Om åter </w:t>
      </w:r>
      <w:r>
        <w:rPr>
          <w:b/>
        </w:rPr>
        <w:t>kvinnan¹</w:t>
      </w:r>
      <w:r>
        <w:rPr>
          <w:b w:val="0"/>
        </w:rPr>
        <w:t xml:space="preserve"> under dylika omständigheter förklaras berättigad till skadestånd av mannen, synes rättvisan fordra, att även mannen i motsvarande fall tillerkännes rätt till skadeersättning av </w:t>
      </w:r>
      <w:r>
        <w:rPr>
          <w:b/>
        </w:rPr>
        <w:t>kvinnan¹</w:t>
      </w:r>
      <w:r>
        <w:rPr>
          <w:b w:val="0"/>
        </w:rPr>
        <w:t>.</w:t>
        <w:br/>
        <w:br/>
        <w:t>Det nu anförda synes mig visa, att denna sak måste lösas efter andra linjer, behandlas ur mera omfattande synpunkter, än dem lagutskottets ordförande anlagt på densamma. TI själva verket torde vi ej heller behöva vänta länge på en uttömmande lagstiftning i det sist berörda ämnet. Den så kallade reglementeringskommittén har nämligen, som herrarne torde veta, bland annat utarbetat förslag, gående ut på, att den person, som genom könsumgänge med en annan ådrages smittosam könssjukdom, skulle vara berättigad till skadeersättning av denne, varjämte den senare skulle drabbas av straff, jag tror t. o. m. frihetsstraff. Om ett förslag i sådan riktning antages, så skipas verklig rättvisa, men så sker ej om man vid denna paragraf antager herr Albert Peterssons reservation.</w:t>
        <w:br/>
        <w:br/>
        <w:t xml:space="preserve">Det vore synd, att icke i detta sammanhang uppmärksamma även den reservation, som avgivits av herrar af Ekenstam, Trana och Valerius Olsson från första kammaren. Jag har visserligen icke hört någon yrka bifall till densamma, men det synes mig, att något dock bör sägas om den. Denna reservation går 1 korthet ut på att ifrågavarande skadeståndsrätt skulle bliva ännu mera vidsträckt än enligt den förra reservationen. Herr af Ekenstam m. fl. anse, att skadeståndsrätten rättvisligen bör utsträckas även till det fall, att hävdandet föregått trolovningen. Men då ligger det nära till hands att fullfölja tankegången sålunda: skall </w:t>
      </w:r>
      <w:r>
        <w:rPr>
          <w:b/>
        </w:rPr>
        <w:t>kvinnan¹</w:t>
      </w:r>
      <w:r>
        <w:rPr>
          <w:b w:val="0"/>
        </w:rPr>
        <w:t xml:space="preserve"> hava skadestånd för lägersmål, som efterföljts av trolovning, så bör </w:t>
      </w:r>
      <w:r>
        <w:rPr>
          <w:b/>
        </w:rPr>
        <w:t>hon²</w:t>
      </w:r>
      <w:r>
        <w:rPr>
          <w:b w:val="0"/>
        </w:rPr>
        <w:t xml:space="preserve"> även hava skadestånd, då trolovning icke följt, och så är man framme vid den vulgära ståndpunkt, som jag nyss talade om, och som jag befarar skulle kunna bliva populär, om en sådan lag antoges, d. v. s. att här vore fråga om att fastslå ersättning i NE för könsumgänge som sådant. Jag menar, att inför så-</w:t>
        <w:br/>
        <w:br/>
        <w:t>ana perspektiv, lagstiftning av nu nämnd innebörd icke framstår såsom tilltalande.</w:t>
        <w:br/>
        <w:br/>
        <w:t>För min del, herr talman, är jag visserligen övertygad om att lagstiftningen i sig själv mycket litet kan uträtta för att utrota</w:t>
        <w:br/>
        <w:br/>
        <w:t>den dubbla könsmoralen. Men jag menar, å andra sidan, att lagstiftningen åtminstone kan akta sig för att sanktionera eller stödja SR Fördenskull ber jag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1305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