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1307</w:t>
      </w:r>
    </w:p>
    <w:p>
      <w:r>
        <w:rPr>
          <w:b/>
        </w:rPr>
        <w:t xml:space="preserve">Datum: </w:t>
      </w:r>
      <w:r>
        <w:t>1915-05-03</w:t>
      </w:r>
    </w:p>
    <w:p>
      <w:r>
        <w:rPr>
          <w:b/>
        </w:rPr>
        <w:t xml:space="preserve">Kammare: </w:t>
      </w:r>
      <w:r>
        <w:t>Andra kammaren</w:t>
      </w:r>
    </w:p>
    <w:p>
      <w:r>
        <w:rPr>
          <w:b/>
        </w:rPr>
        <w:t xml:space="preserve">Antal yttranden: </w:t>
      </w:r>
      <w:r>
        <w:t>6</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Peter Rydholm (Lantmanna- och borgarepartiet inom andrakammaren, man)</w:t>
      </w:r>
    </w:p>
    <w:p>
      <w:r>
        <w:rPr>
          <w:b w:val="0"/>
        </w:rPr>
        <w:t xml:space="preserve">Herr talman, mina herrar! Den reservation, som av lagutskottets ordförande har fogats till denna paragraf, går ut på bifall till den motion, som samtliga präster i riksdagens båda kamrar ha framburit. Vi ha i den motionen sagt, att erfarenheten visar, att i äktenskapsfrågor kan det mest otroliga och orimliga inträffa, och vi anse, att det är högst anstötligt, om det skall kunna vara möjligt att tvinga en präst att lysa och lysa och lysa om igen för samma person med olika </w:t>
      </w:r>
      <w:r>
        <w:rPr>
          <w:b/>
        </w:rPr>
        <w:t>kvinnor¹</w:t>
      </w:r>
      <w:r>
        <w:rPr>
          <w:b w:val="0"/>
        </w:rPr>
        <w:t xml:space="preserve"> eller olika män.</w:t>
        <w:br/>
        <w:br/>
        <w:t>Lagutskottet har emellertid avvisat denna motion och motiverar detta på ett högst märkligt sätt. Lagutskottets ordförande har redan påpekat det orimliga i att man skulle kunna anse något dylikt vara omöjligt på grund av förbudet mot tvegifte. Man behöver blott tänka på att lysnings uttagande är i rättsligt avseende rakt ingenting. 'Trolovningen blir icke varken mer eller mindre, därigenom att lysning uttages, och allra minst är det något slags gifte. Saken har icke det bittersta med tvegifte att göra. Det kan möjligen bli fråga om tvelysning, men sådan är ingenstädes förbjuden.</w:t>
        <w:br/>
        <w:br/>
        <w:t>Nu säger utskottet, att »av samma förbud» — nämligen mot tvegifte — »lär jämväl följa, att den präst, som utfärdat lysningsbevis, icke inom den tid, som angives i 4 kap. 6 8, får utfärda lysning till annat äktenskap utan att förvissa sig om, att den förra lysningen ej lett till vigsel.» Ja, det är ju alldeles klart, att han icke får göra, men det behöver han alls icke ha några större bekymmer för, ty det är föreskrivet i den andra paragrafen att den, som vill ha lysning, skall avgiva en skriftlig försäkran, när han begär sin nya lysning, att han icke är gift. Det kan han naturligtvis göra, i all synnerhet om den nya lysningen kom-</w:t>
        <w:br/>
        <w:br/>
        <w:t>mer mycket snart, innan det lyst tredje gången, då han alltså icke kan vara gift.</w:t>
        <w:br/>
        <w:br/>
        <w:t>Vidare säger utskottet, att prästen kan, eventuellt genom lysningsbevisets återtagande, förhindra att det framdeles tages i bruk. Nej, det kan han icke. Det går icke, ty det lysningsbevis, som han utfärdat, har omhändertagits av prästen 1 den församling, där det lyst. Det har den prästen låst in i sitt arkiv och släpper aldrig ut därifrån, ty det är säkerheten för honom, att han utfärdat en laglig lysning. Det beviset kan aldrig användas mer än en gång, men däremot kan en person tvinga prästen att giva ut nytt bevis och åter nytt bevis, ty det finnes ingenting, som hindrar honom att tvinga sig till ett sådant.</w:t>
        <w:br/>
        <w:br/>
        <w:t>Vad sedan beträffar talet om att Kungl. Maj:t skulle kunna på administrativ väg bota denna brist i lagen, så tilltalar det mig icke. Ar det icke bättre, att vi göra lagen riktig från början, så att icke Kungl. Maj:t behöver tvärt komma och säga: Här är ett fel i lagen, det få vi bota. Jag tror heller icke, att Kungl. Maj:t kan bota det, ty om detta en gång är statens lag, så kan icke Kungl. Maj:t på administativ väg ändra vad Konungen och riksdagen gemensamt beslutat. Det argumentet tror jag sålunda icke är mycket värt. .</w:t>
        <w:br/>
        <w:br/>
        <w:t>Emellertid tror jag mig veta, hur det kommer sig, att utskottet visat sig så oförstående emot prästerskapets motion i detta stycke. Här står något på första raden på sidan 29 därom, att detta stadgande icke upptagits i förslaget, »lika litet som i främmande lagar». Där ha vi nog nyckeln. Därför att det icke står i den tyska lagen och icke i den danska och i den norska, så går det icke heller an att taga in det i den svenska, ty vi svenskar kunna ju aldrig gilla annat än det, som är utländskt, och kunna således icke hitta på något, som är riktigt äkta svenskt. Det är den gamla vanliga historien.</w:t>
        <w:br/>
        <w:br/>
        <w:t>Jag vill till sist fästa min uppmärksamhet vid lagutskottets och den siste ärade talarens, herr Schottes, påstående, att detta är fall, som kunna tänkas inträffa, men i verkligheten knappast förekomma, eller som äro »konstruerade», såsom herr Schotte sade. Jag skall be att få upplysa, att detta är fall, som förekomma och skola förekomma och förekomma säkert. Jag skall icke räkna upp alla de fall jag känner till av mer eller mindre ditåt pekande art. Jag skall blott anföra tre fall ur erfarenheten, som äro så barocka, att de tillräckligt visa, att det här verkligen är fara på färde.</w:t>
        <w:br/>
        <w:br/>
        <w:t xml:space="preserve">I det första fallet var det en man, som kom och begärde lysning med en </w:t>
      </w:r>
      <w:r>
        <w:rPr>
          <w:b/>
        </w:rPr>
        <w:t>kvinna¹</w:t>
      </w:r>
      <w:r>
        <w:rPr>
          <w:b w:val="0"/>
        </w:rPr>
        <w:t xml:space="preserve"> på fredagen och fick sådan beviljad. Följande dag, lördagen, kom han igen och sade, att de rivit upp sin förlovning, och nu ville han ha lysuing med en annan. Det kunde han icke få, så länge den nuvarande lagen gäller, att när lysning är uttagen, så är trolovningen fast, och således fick han först skilja sig från den första. Men i alla fall han kom dagen efter och begärde lysning med en annan </w:t>
      </w:r>
      <w:r>
        <w:rPr>
          <w:b/>
        </w:rPr>
        <w:t>kvinna¹</w:t>
      </w:r>
      <w:r>
        <w:rPr>
          <w:b w:val="0"/>
        </w:rPr>
        <w:t>.</w:t>
        <w:br/>
        <w:br/>
        <w:t xml:space="preserve">I det andra fallet var det en person, som kom och begärde lysning. Jag minnes för övrigt namnen: Han hette Larsson och </w:t>
      </w:r>
      <w:r>
        <w:rPr>
          <w:b/>
        </w:rPr>
        <w:t>hon²</w:t>
      </w:r>
      <w:r>
        <w:rPr>
          <w:b w:val="0"/>
        </w:rPr>
        <w:t xml:space="preserve"> Charlotta. Det lyste för dem, och någon dag efteråt infann sig en ung, vacker Hicka, Tilda, hos mig och sade, att </w:t>
      </w:r>
      <w:r>
        <w:rPr>
          <w:b/>
        </w:rPr>
        <w:t>hon²</w:t>
      </w:r>
      <w:r>
        <w:rPr>
          <w:b w:val="0"/>
        </w:rPr>
        <w:t xml:space="preserve"> var förlovad sedan flera år med Larsson och ville icke låta honom gifta sig med Charlotta. Jag skickade bud efter Larsson och Charlotta, och Tilda kom också samtidigt, och de voro alla tre inne. Då kom det fram, att han hade fått veta, att Charlotta hade ett par hundra kronor på banken och att han därför beslutit sig för att gifta sig med </w:t>
      </w:r>
      <w:r>
        <w:rPr>
          <w:b/>
        </w:rPr>
        <w:t>henne²</w:t>
      </w:r>
      <w:r>
        <w:rPr>
          <w:b w:val="0"/>
        </w:rPr>
        <w:t>. Men när han tittat litet fram och tillbaka på Tilda och Charlotta, sade han: Jag tror, att jag tar Tilda. Ja, han fick lov att gå till domkapitlet för att få trolovningen upplöst, och Charlotta var snäll och ville icke bråka eller begära något skadestånd. Han fick sin trolovning med Charlotta upplöst, och sedan kunde jag lysa för Larsson och Tilda. Det var det andra fallet.</w:t>
        <w:br/>
        <w:br/>
        <w:t xml:space="preserve">Det tredje fallet är ännu mera barockt. En man och en </w:t>
      </w:r>
      <w:r>
        <w:rPr>
          <w:b/>
        </w:rPr>
        <w:t>kvinna¹</w:t>
      </w:r>
      <w:r>
        <w:rPr>
          <w:b w:val="0"/>
        </w:rPr>
        <w:t xml:space="preserve"> kommo och begärde lysning, men mannen hade icke sina papper i ordning, så att lysning kunde beviljas. Han blev ju missnöjd, men det hjälpte inte, utan han fick gå hem för att komma igen med riktiga papper. På eftermiddagen samma dag kom </w:t>
      </w:r>
      <w:r>
        <w:rPr>
          <w:b/>
        </w:rPr>
        <w:t>kvinnan¹</w:t>
      </w:r>
      <w:r>
        <w:rPr>
          <w:b w:val="0"/>
        </w:rPr>
        <w:t xml:space="preserve"> med en annan karl och sade: Det var så krångligt med den där andra, så att jag skall be att få lysning med den här i stället.</w:t>
        <w:br/>
        <w:br/>
        <w:t>Herrarna se således, att detta är sådana fall, som visst förekomma, men de borde icke få förekomma, det är en skandal, att sådant skall inträffa. År det då så rysligt påkostande att bevilja vad prästerskapet här begär för att slippa den skandalen att tvingas till att utfärda lysningsbevis i oändlighet? Skulle icke kammaren dock kunna bifalla detta? Det är icke någonting samhällsupplösande eller farligt, och vi skulle då kunna få denna lilla hämsko på all den löslighet och allt det individuella godtycke, som tillräckligt mycket kommer fram enligt denna lag i alla fall.</w:t>
        <w:br/>
        <w:br/>
        <w:t>Jag skall be, herr talman, att få på det allra livligaste anhålla, att kammaren måtte bifalla herr Peterssons i Lidingö villastad yrkande.</w:t>
      </w:r>
    </w:p>
    <w:p>
      <w:pPr>
        <w:pStyle w:val="Heading2"/>
      </w:pPr>
      <w:r>
        <w:t>2. Fritiof Lundgren (–, man)</w:t>
      </w:r>
    </w:p>
    <w:p>
      <w:r>
        <w:rPr>
          <w:b w:val="0"/>
        </w:rPr>
        <w:t>Herr talman! Jag skall be att till kammaren få framställa en liten blygsam anhållan, nämligen att kammaren behagade bifalla den av herr Valerius Olsson under $ 3 gjorda reservationen, vilken återfinnes på sidan 129 i utskottets betänkande.</w:t>
        <w:br/>
        <w:br/>
        <w:t>För närvarande är det ju så bestämt i lagen, att avkunnandet av lysning i vissa fall kan framflyttas en eller ett par söndagar efter det lysning uttagits. Enligt det nya förslaget skall lysning ovillkorligen börja söndagen näst efter den dag, då vederbörande kontrahenter anhållit om lysning. Jag tycker verkligen, att detta förslag är något rigoröst. Det är nu regel, att lysning avkunnas söndagen efter den, då vederbörande begärt densamma, men det kan nog hända en eller annan gång, att det kommer upp ett par på paetorsexped iktgaten och ber att av en eller annan orsak få lysningen framflyttad en vecka eller två, och jag tycker, att det vore</w:t>
        <w:br/>
        <w:br/>
        <w:t>inhumant att i en ny lag införa en bestämmelse, som gjorde det alldeles nödvändigt att vägra en sådan blygsam framställning.</w:t>
        <w:br/>
        <w:br/>
        <w:t>På grund av vad jag här anfört, skall jag be att få yrka bifall till den av herr Valerius Olsson under 8 3 avgivna reservationen.</w:t>
      </w:r>
    </w:p>
    <w:p>
      <w:pPr>
        <w:pStyle w:val="Heading2"/>
      </w:pPr>
      <w:r>
        <w:t>3. Sven Persson (Socialdemokraterna, man)</w:t>
      </w:r>
    </w:p>
    <w:p>
      <w:r>
        <w:rPr>
          <w:b w:val="0"/>
        </w:rPr>
        <w:t>Jag kan icke alls dela en föregående ärad talares uppfattning, att man skall kunna hindra vad han anser vara löslighet genom en lagbestämmelse om, att det, sedan lysning skett, skall förflyta viss tid, innan ny lysning får uttagas för en av kontrahenterna med en annan.</w:t>
        <w:br/>
        <w:br/>
        <w:t xml:space="preserve">Utskottets ståndpunkt är icke endast baserad på att man icke i onödan vill gå ifrån den bestämmelse, som i allmänhet gäller i äktenskapslagarna i andra länder, ehuru även detta är ett skäl, som icke är att förakta. Varför skall man, när man utan olägenhet kan få likställighet, avstå från denna likställighet? Det är emellertid även andra synpunkter, som utskottet haft. Jag ber att få erinra herrarna därom, att mellan skilsmässa och ny lysning till giftermål finnes icke stadgad någon obligatorisk väntetid på tre månader, utan man kan faktiskt, omedelbart sedan skilsmässa är åstadkommen, erhålla lysning utan denna väntetid. Varför skall man göra villkoren strängare, när det gäller erhållande av ny lysning, än när det gäller äktenskapsupplösning och lysning därefter? Man skall väl icke utan alltför trängande behov göra sig skyldig i lagstiftningen till sådana inkonsekvenser, som skulle uppstå genom ett bifall till det förslag, som lagutskottets ordförande framställt, och som herr Rydholm förordade. Ingalunda botar man sådana fall, som dem han drog fram, med de bestämmelser han ville ha införda. Löslighet i förhållandet mellan man och </w:t>
      </w:r>
      <w:r>
        <w:rPr>
          <w:b/>
        </w:rPr>
        <w:t>kvinna¹</w:t>
      </w:r>
      <w:r>
        <w:rPr>
          <w:b w:val="0"/>
        </w:rPr>
        <w:t xml:space="preserve"> förhindras väl icke därigenom, att parterna icke kunna få ut lysning förrän efter bestämd tid, utan det beror väl på helt andra förhållanden. Är det bättre att den, som kommer och begär lysning och icke kan få det, lever i samliv med </w:t>
      </w:r>
      <w:r>
        <w:rPr>
          <w:b/>
        </w:rPr>
        <w:t>kvinnan¹</w:t>
      </w:r>
      <w:r>
        <w:rPr>
          <w:b w:val="0"/>
        </w:rPr>
        <w:t xml:space="preserve"> i alla fall, lever i konkubinat? Ar det bättre, än att han får lysning, när han behagar, och får ett ordnat samliv till stånd?</w:t>
        <w:br/>
        <w:br/>
        <w:t>Jag kan icke alls förstå den tankegång, som ligger bakom motionen i detta fall; den synes mig bottna i ett sken och icke i någon verklighet. Till detta sken vill jag icke lämna min medverkan och därför, herr talman, ber jag att få yrka bifall till utskottets förslag.</w:t>
      </w:r>
    </w:p>
    <w:p>
      <w:pPr>
        <w:pStyle w:val="Heading2"/>
      </w:pPr>
      <w:r>
        <w:t>4. Gustaf Albert Petersson (Lantmanna- och borgarepartiet inom andrakammaren, man)</w:t>
      </w:r>
    </w:p>
    <w:p>
      <w:r>
        <w:rPr>
          <w:b w:val="0"/>
        </w:rPr>
        <w:t xml:space="preserve">Den diskussion, som här förekommit, torde för alla ledamöter av kammaren, som hört den, hava klarlagt, hur oändligt svaga de skäl äro, som framörts av herrar Schotte och Sven Persson. De äro egentligen icke några skäl alls. De talarna kräva i realiteten, att det i lag skall medgivas en man att ena dagen erhålla lysning med en </w:t>
      </w:r>
      <w:r>
        <w:rPr>
          <w:b/>
        </w:rPr>
        <w:t>kvinna¹</w:t>
      </w:r>
      <w:r>
        <w:rPr>
          <w:b w:val="0"/>
        </w:rPr>
        <w:t>, andra dagen med en annan och tredje dagen med ep tredje o. s. v. Detta är hela innebörden. När herr Sven Persson talar om att</w:t>
        <w:br/>
        <w:br/>
        <w:t>ett bifall till reservationen skulle lägga hinder i vägen för folk, som vilja få en förbindelse legaliserad, att få lysning och vigsel så vill jag säga, att det sannerligen icke är för mycket begärt, om de få vänta de månader, som det här är fråga om, ifall så skulle vara att det nyss förut lyst för någondera av dem med annan.</w:t>
        <w:br/>
        <w:br/>
        <w:t>Såvitt jag fattade den av de föregående ärade talarna rätt, som yrkade bifall till herr Valerius Olssons reservation, så skulle hans yttrande innebära yrkande om bifall till förslaget även i den del, som det nu är fråga om. Då jag i så fall fått understöd även från detta håll vill jag verkligen hemställa till kammaren, om icke på denna punkt, där otvivelaktigt de verkligt vägande skälen ligga på reservanternas sida, kammaren skulle för en gångs skull vilja bifalla denna reservation, trots att den icke vunnit understöd från de härskande partierna inom kammaren. Och jag skall gå så långt i tilltro till, att någon gång verkliga skäl skola få tala, att jag herr talman, vid derna punkt kommer att begära votering.</w:t>
      </w:r>
    </w:p>
    <w:p>
      <w:pPr>
        <w:pStyle w:val="Heading2"/>
      </w:pPr>
      <w:r>
        <w:t>5. Fritiof Lundgren (–, man)</w:t>
      </w:r>
    </w:p>
    <w:p>
      <w:r>
        <w:rPr>
          <w:b w:val="0"/>
        </w:rPr>
        <w:t>Då jag ju icke är i tillfälle att vid öpen omröstning ge min mening tillkänna, skall jag, herr talman, e att, innan klubban faller, få offentligen deklarera, att jag dels är en av motionärerna i denna fråga och dels kommer att rösta till förmån för herr Peterssons i Lidingö villastad reservation. Det är en allmän önskan bland prästerskapet att få lagen ändrad i den riktning, som angives i denna reservation, och jag fruktar, att i en del fall dvs ett bifall till det ursprungliga förslaget bli ett medel att legalisera den rena oordningen.</w:t>
        <w:br/>
        <w:br/>
        <w:t>Från dessa synpukter ber jag att få yrka bifall till denna reservation.</w:t>
      </w:r>
    </w:p>
    <w:p>
      <w:pPr>
        <w:pStyle w:val="Heading2"/>
      </w:pPr>
      <w:r>
        <w:t>6. Jakob Pettersson (Liberala riksdagspartiet, man)</w:t>
      </w:r>
    </w:p>
    <w:p>
      <w:r>
        <w:rPr>
          <w:b w:val="0"/>
        </w:rPr>
        <w:t xml:space="preserve">Herr talman! "Trots de bevekande anföranden, som här hållits till förmån för reservationen, vågar jag dock bedja kammaren att icke låta sig därav bevekas att frångå utskottets förslag i denna punkt. Jag har den största veneration för den auktoritet, som representeras av lagutskottets ärade ordförande. Men i denna fråga har jag ännu större veneration för lagberedningens auktoritet, och då lagberedningen under sin långvariga och grundliga behandling av detta ämne icke funnit den fara, man här varnar för, vara så stor, att en bestämmelse därom anses erforderlig, tror jag, att vi andra också kunna känna oss ganska lugna. Det är väl ändå så, att det icke låter sig tänka, att någon präst kan falla på den idén att meddela lysning för samma person med två särskilda kontrahenter på samma gång. Det säger sig självt, att då lagen förbjuder tvegifte, kan det icke vara riktigt, att en man låter lysa för sig med två </w:t>
      </w:r>
      <w:r>
        <w:rPr>
          <w:b/>
        </w:rPr>
        <w:t>kvinnor¹</w:t>
      </w:r>
      <w:r>
        <w:rPr>
          <w:b w:val="0"/>
        </w:rPr>
        <w:t xml:space="preserve"> samtidigt eller ungefär samtidigt. Det är orimligt, och lagen behöver icke förbjuda allt, som är orimligt.</w:t>
        <w:br/>
        <w:br/>
        <w:t>För övrigt äro vi ju alla ense om att det kan behövas vissa supplerande bestämmelser. Men här som beträffande åtskilliga</w:t>
        <w:br/>
        <w:br/>
        <w:t>andra lagar är det nog bäst, att Kungl. Maj:t i administrativ väg får utfärda sådana bestämmelser, vilka därför icke såsom en föregående talare sagt, komma att innebära ett partiellt upphävande av lagen.</w:t>
        <w:br/>
        <w:br/>
        <w:t>En föregående talare opponerade sig emot att man till försvar för utskottets förslag åberopade främmande lagstiftning, särskilt skandinavisk lagstiftning. SN svenskar», utbrast han hånfullt, &gt;kunna ju icke gilla något annat, än det som är utländskt».</w:t>
        <w:br/>
        <w:br/>
        <w:t>Jag kan icke neka till, att jag kände mig ganska beklämd, när jag hörde det talet. Här ha Kungl. Maj:t och riksdagen kommit överens om att söka åstadkomma en gemensam skandinavisk lagstiftning på ett mycket viktigt rättsområde, och detta mötes med förståelse från de andra skandinaviska länderna. Från alla tre rikena har man sökt ut sina bästa män för att utarbeta förslag till sådan lag. Man har länge hållit på med detta maktpåliggande arbete och sökt åstadkomma något som av mera kom-</w:t>
        <w:br/>
        <w:br/>
        <w:t>etenta kännare, än vad jag är, förklarats vara i det stora hela örträffligt. Det anses också rätt allmänt, att det är en vinst, att de tre skandinaviska länderna på detta viktiga rättsområde stå i begrepp att åstadkomma enlatlighet, Då kommer en ledamot av riksdagens andra kammare och visar sitt förstånd på denna sak genom att säga: Vi svenskar kunna icke gilla annat än det som är utländskt. Det vore sannerligen beklagligt om kammaren skulle vilja taga intryck av ett sådant uttalande.</w:t>
        <w:br/>
        <w:br/>
        <w:t>Herr talman! Jag yrkar bifall till utskottets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1307</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