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234</w:t>
      </w:r>
    </w:p>
    <w:p>
      <w:r>
        <w:rPr>
          <w:b/>
        </w:rPr>
        <w:t xml:space="preserve">Datum: </w:t>
      </w:r>
      <w:r>
        <w:t>1915-05-03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Berndt Hasselrot (–, man)</w:t>
      </w:r>
    </w:p>
    <w:p>
      <w:r>
        <w:rPr>
          <w:b w:val="0"/>
        </w:rPr>
        <w:t>Naturligtvis förefinnas goda skäl för den mening, för vilken herr Gezelius gjort sig till en så varin förespråkare. Riktigt är ju också, såsom han anför, att den medicinska fakulteten i Uppsala förordat bibehållandet av nu gällande ovillkorliga förbud, men samtidigt bör också ihågkommas. att medicinska fakulteten förklarat, att ur medicinsk synpunkt fara icke föreligger. om bägge kontrahenterna äro fria från ärft-</w:t>
        <w:br/>
        <w:br/>
        <w:t>bagförslag om liga sjukdomsanlag. Nu fordras emellertid enligt detta förslag</w:t>
        <w:br/>
        <w:br/>
        <w:t xml:space="preserve">kunglig dispens för att äktenskap skall medgivas, och möjlighet bör följaktligen alltid finnas att genom läkarintyg vinna fullt nöjaktig utredning härutinnan. Alldeles klart är ju, att Kungl. Maj:t icke kommer att bevilja dispens i något fall, där ej läkarintyg utvisar, att kontrahenterna äro fria från sådana anlag. Flera fall ha i Sverige redan förekommit, då släktingar i ifrågavarande led för att få en förbindelse legaliserad blivit utländska medborgare men sedan återvänt till Sverige. Det har i dessa fall visat sig, att dessa svenskar efter sin återkomst icke äventyrat något av det anseende, de förut ägt. Denna omständighet får väl anses utvisa, att förbindelse av ifrågavarande art icke är stötande för det sedliga rättsmedvetandet i vårt land. Naturligtvis är det endast i enstaka fall, som anledning kan förefinnas till att bevilja dispens. Anledning förefinnes visst icke till antagande, att dispensansökningar i någon större mängd skola inkomma. I detta hänseende ber jag att få åberopa, att i Norge har under perioden 1894—1908 ingåtts blott tre äktenskap, där </w:t>
      </w:r>
      <w:r>
        <w:rPr>
          <w:b/>
        </w:rPr>
        <w:t>kvinnan¹</w:t>
      </w:r>
      <w:r>
        <w:rPr>
          <w:b w:val="0"/>
        </w:rPr>
        <w:t>, och 20, där mannen stått omedelbart under den gemensamma stammen, och dock har endast i förstnämnda fall dispens varit av nöden. I Tyskland behöves icke ens dispens.</w:t>
      </w:r>
    </w:p>
    <w:p>
      <w:pPr>
        <w:pStyle w:val="Heading2"/>
      </w:pPr>
      <w:r>
        <w:t>2. Erik Trana (Utan partibeteckning, man)</w:t>
      </w:r>
    </w:p>
    <w:p>
      <w:r>
        <w:rPr>
          <w:b w:val="0"/>
        </w:rPr>
        <w:t>Jag skall endast be att med några ord få bemöta vad herr Gezelius anförde till förmån för sin reservation, som ger uttryck åt en ståndpunkt, om vilken han är ensam inom lagutskottet. Han har åberopat två skäl. Det första är den rashygieniska synpunkten, och det andra skälet är hänsynen till den allmänna åskådningen hos vårt folk.</w:t>
        <w:br/>
        <w:br/>
        <w:t>Vad den rashygieniska synpunkten beträffar, så kunde jag möjligen gilla dessa skäl, om det vore fråga om att utan vidare medgiva på detta sätt besläktade personer rätt att gifta sig, men enligt förslaget fordras ju Konungens tillstånd för ingående av sådant äktenskap. Hos våra stamfränder i Danmark och Norge är det tillåtet och i det stora Tyskland likaså. När man nu ser dag för dag, hur det tyska folket utmärker sig, tycker jag, att det är enkelt och klart att draga den slutsatsen, att det måste vara mycket litet bevänt med de rashygieniska synpunkterna i detta fall.</w:t>
        <w:br/>
        <w:br/>
        <w:t>Så komma vi till den gamla svenska uppfattningen, och därvid anför man, att det hittills icke har varit tillåtet. Men som jag sade förut, våra stamfränder ha denna lag, och vi veta mycket väl, att det har hänt flera gånger, att personer ha rest över till Lubeck eller Helgoland eller vart de lättast kunna komma för att ingå sådant äktenskap. Varför skola vi då icke i lagen kunna tillåta detta hemma hos oss, där Kungl. Maj:t dock enligt detta förslag får pröva de skäl, som äro anledningen till ingående av sådant äktenskap? Då nu dylika äktenskap verkligen icke sällan förekomma, kan jag icke finna annat än att det är mycket bättre att</w:t>
        <w:br/>
        <w:br/>
        <w:t>På dessa skäl yrkar jag bifall till utskottets förslag. "Upplösning</w:t>
      </w:r>
    </w:p>
    <w:p>
      <w:pPr>
        <w:pStyle w:val="Heading2"/>
      </w:pPr>
      <w:r>
        <w:t>3. Johan Thyren (Utan partibeteckning, man)</w:t>
      </w:r>
    </w:p>
    <w:p>
      <w:r>
        <w:rPr>
          <w:b w:val="0"/>
        </w:rPr>
        <w:t xml:space="preserve">Med anledning av vädjandet till utländsk lag- = (Forts.) stiftning och påpekandet av att man kan resa utrikes för att på det sättet bliva gift, skall jag blott be att få erinra herrarna om att det också finnes främmande länder dit en styvfader och </w:t>
      </w:r>
      <w:r>
        <w:rPr>
          <w:b/>
        </w:rPr>
        <w:t>styvdotter²</w:t>
      </w:r>
      <w:r>
        <w:rPr>
          <w:b w:val="0"/>
        </w:rPr>
        <w:t xml:space="preserve"> kunna resa för att gifta sig. Qui nimis probat, nihil robat!</w:t>
        <w:br/>
        <w:br/>
        <w:t xml:space="preserve">P I övrigt skall jag be att till de två punkterna från herr Gezelius' anförande, som herr Trana talade om, få erinra herrarna om, att herr Gezelius hade en tredje punkt, som herr Trana icke nämnde, vilken jag skall be att få understryka, och det gäller förhållandet till strafflagen. Vad skall man säga om ett sådant rättsfall, att en farbroder och en </w:t>
      </w:r>
      <w:r>
        <w:rPr>
          <w:b/>
        </w:rPr>
        <w:t>brorsdotter²</w:t>
      </w:r>
      <w:r>
        <w:rPr>
          <w:b w:val="0"/>
        </w:rPr>
        <w:t xml:space="preserve"> idka könsumgänge utan äktenskap, varmed dessa personer båda två göra sig förfallna till straffansvar upp till två års straffarbete. Då begära de Kungl. Maj:ts dispens för att få gifta sig. Vad skall man nu göra? Skall man fria dem från straffansvar, i fall de få dispens? Omöjligt! Med ena handen straffar man deras könsumgänge med två års straffarbete, och med den andra förenar man dem i äktenskap. Det må väl vara en orimlighet om något. Om man ville på något sätt eskamotera bort straffbestämmelserna genom dispensen, vilket jag icke ser någon juridisk möjlighet att göra, så är det väl i alla fall bra besynnerligt, att man på det sättet låter sanktionera ett förhållande samtidigt med att man i strafflagen betecknar det som så förkastligt, att det medför två års straffarbete, ty lönskaläge i sig själv medför ju ingen straffpåföljd numera, utan det är blott och bart denna skyldskap, som skapar straffet. Detta är väl en så ytterlig inkongruens, att jag har mycket svårt att förstå, huru de ärade utskottsledamöterna och de andra kompetenta personer, som haft med lagen att göra, kunnat tänka sig, att detta gamla hinder i verkligheten skall borttagas, utan att man samtidigt gör någon ändring 1 strafflagen.</w:t>
        <w:br/>
        <w:br/>
        <w:t>Därtill vill jag i största korthet lägga, att vad den rashygieniska synpunkten beträffar, så få vi komma ihåg, att denna diagnos på att två personer äro fullt fria från konstitutionella sjukliga anlag, nog är mycket svår att ställa. Jag tror, att man i de flesta fall vid sådana undersökningar endast kan uppnå det negativa resultat, att ingenting kan påvisas, men icke med någon säkerhet konstatera frånvaron av sädana anlag. Det kommer kanske att visa sig, först då dessa personer kommit tillsammans och avlat barn. Men där så ej skett, torde det vid behandlingen av dispensansökan bliva mycket svårt för läkarna och Kungl. Maj:t att få någonting annat än nämnda negativa riktlinje, ett non liquet, att gå efter.</w:t>
        <w:br/>
        <w:br/>
        <w:t>Vad sedan angår den etiska synpunkten, må det ju vara en smaksak. För min personliga del kan jag icke förstå annat än att</w:t>
        <w:br/>
        <w:br/>
        <w:t xml:space="preserve">hållandet mellan mostrar och </w:t>
      </w:r>
      <w:r>
        <w:rPr>
          <w:b/>
        </w:rPr>
        <w:t>systersöner²</w:t>
      </w:r>
      <w:r>
        <w:rPr>
          <w:b w:val="0"/>
        </w:rPr>
        <w:t>, farbröder och brorsdöttrar o. s. v. hålla på den linje, som man hittills följt, och i dessa förhållanden skydda känslan av familjepietet och låta sexuella känslor så litet som möjligt inblandas. Jag får därför, herr talman, yrka bifall till herr Gezelius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