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237</w:t>
      </w:r>
    </w:p>
    <w:p>
      <w:r>
        <w:rPr>
          <w:b/>
        </w:rPr>
        <w:t xml:space="preserve">Datum: </w:t>
      </w:r>
      <w:r>
        <w:t>1915-05-03</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Steffen (–, man)</w:t>
      </w:r>
    </w:p>
    <w:p>
      <w:r>
        <w:rPr>
          <w:b w:val="0"/>
        </w:rPr>
        <w:t>Herr talman! Jag anhåller att få yrka bifall till den reservation, som vid denna paragraf fogats av herr Pettersson i Södertälje med flera. Reservationen gör till en början endast den ändring i förevarande paragraf att å första raden i reservationen står: &gt;»Har före den 1 januari 1919 man hävdat» etc., under det att lagutskottet föreslår: &gt;Har innan nya lagen trätt i kraft man hävdat» ete. Sedan har reservationen ett tillägg, att »</w:t>
      </w:r>
      <w:r>
        <w:rPr>
          <w:b/>
        </w:rPr>
        <w:t>kvinna¹</w:t>
      </w:r>
      <w:r>
        <w:rPr>
          <w:b w:val="0"/>
        </w:rPr>
        <w:t>, som av domstol tillerkänts skadestånd enligt 1 kap. 3 $ lagen om äktenskaps ingående och EO äge ej åtnjuta sådan rätt, som i 3 kap. 9 eller 10 88 eller 5 kap. 1 8 giftermålsbalken sägs».</w:t>
        <w:br/>
        <w:br/>
        <w:t xml:space="preserve">Meningen med denna reservation är, att uti den nu föreliggande promulgationslagen bereda möjlighet för en skrivelse till Kungl. Maj:t genom ett särskilt beslut av riksdagen. Om denna skrivelse skall hemställas under punkten C). I skrivelsen skall anhållas, att lagrådet får i uppdrag att utreda frågan om de så kallade ofullkomnade äktenskapen, särskilt om </w:t>
      </w:r>
      <w:r>
        <w:rPr>
          <w:b/>
        </w:rPr>
        <w:t>kvinnornas¹</w:t>
      </w:r>
      <w:r>
        <w:rPr>
          <w:b w:val="0"/>
        </w:rPr>
        <w:t xml:space="preserve"> ställning inom dessa, i sammanhang med regleringen av de utom äktenskapet födda barnens rättsliga ställning, vilken senare utredning synes vara under förberedelse.</w:t>
        <w:br/>
        <w:br/>
        <w:t xml:space="preserve">Då det närvarande lagförslaget har stannat vid att giva </w:t>
      </w:r>
      <w:r>
        <w:rPr>
          <w:b/>
        </w:rPr>
        <w:t>kvinnorna¹</w:t>
      </w:r>
      <w:r>
        <w:rPr>
          <w:b w:val="0"/>
        </w:rPr>
        <w:t xml:space="preserve"> inom de så kallade ofullkomnade äktenskapen intet annat än ett ekonomiskt skadestånd, om de övergivas av de män, med vilka de ha bundit sig genom ett förlovningsavtal eller liknande, och då det inom samtliga partiläger i denna kammare såväl som i medkammaren synts äneskligt, att dessa </w:t>
      </w:r>
      <w:r>
        <w:rPr>
          <w:b/>
        </w:rPr>
        <w:t>kvinnor¹</w:t>
      </w:r>
      <w:r>
        <w:rPr>
          <w:b w:val="0"/>
        </w:rPr>
        <w:t xml:space="preserve"> finge åtnjuta även en etiskt och socialt bättre ställning, än vad det föreliggande lagförslaget tillförsäkrar dem, en ställning mera motsvarade den de för närvarande åtnjuta, men vilken fråntagits dem genom det förevarande lagförslaget, synes det mig, att en skrivelse i den av mig antydda riktningen bör komma till stånd, så att på denna viktiga punkt, som jag haft tillfälle beröra i ett mfönaide tidigare i dag, någon bättring må vinnas. Men för att detta skall bliva möjligt, erfordras den föreslagna ändringen i nu föredragna paragraf.</w:t>
        <w:br/>
        <w:br/>
        <w:t>Jag anhåller sålunda, herr talman, att få yrka bifall till den av mig föredragna, av herr Pettersson i Södertälje m. fl. avgivna reservationen.</w:t>
      </w:r>
    </w:p>
    <w:p>
      <w:pPr>
        <w:pStyle w:val="Heading2"/>
      </w:pPr>
      <w:r>
        <w:t>2. Theodor af Ekenstam (Lantmanna- och borgarepartiet inom andrakammaren, man)</w:t>
      </w:r>
    </w:p>
    <w:p>
      <w:r>
        <w:rPr>
          <w:b w:val="0"/>
        </w:rPr>
        <w:t>Herr talman! Såsom vi hörde från den sista ärade talaren, avses genom den ändring han föreslagit i denna</w:t>
        <w:br/>
        <w:br/>
        <w:t>ofullkomnade äktenskapen. Den frågan har, såsom naturligt är, varit upphov till ganska mycket diskussion och meningsutbyte inom utskottet, och den mening som utskottsmajoriteten stannat vid, har varit, att man skulle i det avseende, som här åsyftas, kunna vara fullt belåten med den bestämmelse, som finnes angiven sedermera här i 8 8 i denna promulgationslag. I denna paragraf avses dessutom ett par tillägg, som jag redan förut för min del skisserat, då jag hade ett yttrande i avseende på 1 kap. 1 8. Ett som allt synes det mig, som om kammaren lugnt kunde följa majoriteten. Jag yrkar bifall till utskottets hemställan.</w:t>
        <w:br/>
        <w:br/>
        <w:t>Vad sålunda är stadgat skall tillämpas även med avseende å äktenskap, som består då nya lagen träder i kraft men kan dömas ati återgå på grund av hinder, som nyss är sagt.</w:t>
        <w:br/>
        <w:br/>
        <w:t xml:space="preserve">2. Avlar man barn med sin trolovade eller i lönskaläge, därå sedan trolovning följer; upplöses trolovningen genom mannens död och är </w:t>
      </w:r>
      <w:r>
        <w:rPr>
          <w:b/>
        </w:rPr>
        <w:t>kvinnan¹</w:t>
      </w:r>
      <w:r>
        <w:rPr>
          <w:b w:val="0"/>
        </w:rPr>
        <w:t xml:space="preserve"> i behov av underhåll, njute </w:t>
      </w:r>
      <w:r>
        <w:rPr>
          <w:b/>
        </w:rPr>
        <w:t>hon²</w:t>
      </w:r>
      <w:r>
        <w:rPr>
          <w:b w:val="0"/>
        </w:rPr>
        <w:t xml:space="preserve">, där </w:t>
      </w:r>
      <w:r>
        <w:rPr>
          <w:b/>
        </w:rPr>
        <w:t>hon²</w:t>
      </w:r>
      <w:r>
        <w:rPr>
          <w:b w:val="0"/>
        </w:rPr>
        <w:t xml:space="preserve"> inom sex månader efter dödsfallet framställer sitt anspråk hos den som i boet sitter eller hos rätten eller domaren, skälig andel av hans kvarlåtenskap, dock ej utöver hälften därav.</w:t>
      </w:r>
    </w:p>
    <w:p>
      <w:pPr>
        <w:pStyle w:val="Heading2"/>
      </w:pPr>
      <w:r>
        <w:t>3. Ernst Trygger (Högerns riksdagsgrupp, man)</w:t>
      </w:r>
    </w:p>
    <w:p>
      <w:r>
        <w:rPr>
          <w:b w:val="0"/>
        </w:rPr>
        <w:t>Kammaren torde ha funnit av diskussionen, Lagförslag om när vi behandlade 1 8, och det ändringsbeslut, som kammaren då j äktenskaps fattade, att det blir nödvändigt att återremittera till utskottet opläeting 3 8, för att utskottet må bli i tillfälle att undersöka, huruvida ”m m. dj den ifrågasatta ändringen ger anledning till en förändrad avfatt- = (Forts) ning av förevarande paragraf.</w:t>
      </w:r>
    </w:p>
    <w:p>
      <w:pPr>
        <w:pStyle w:val="Heading2"/>
      </w:pPr>
      <w:r>
        <w:t>4. Theodor af Ekenstam (Lantmanna- och borgarepartiet inom andrakammaren, man)</w:t>
      </w:r>
    </w:p>
    <w:p>
      <w:r>
        <w:rPr>
          <w:b w:val="0"/>
        </w:rPr>
        <w:t>Såsom förut antytts, hade det varit min mening att vid denna paragraf föreslå två nya moment. Som det emellertid utan tvivel är riktigare för lydelsen av dessa moment, att jämväl momentens behörighet prövas av utskottet, har jag för min del ingen erinran mot yrkandet på återremiss.</w:t>
        <w:br/>
        <w:br/>
        <w:t xml:space="preserve">Går föräldrarnas äktenskap åter, eller vinna de separation eller äktenskapsskillnad, vare den barnens förmyndare, som skall hava vårdnaden om dem. Träder han i nytt gifte, skall vad i 1 och 2 $$ sägs om skyldighet för fader eller </w:t>
      </w:r>
      <w:r>
        <w:rPr>
          <w:b/>
        </w:rPr>
        <w:t>moder²</w:t>
      </w:r>
      <w:r>
        <w:rPr>
          <w:b w:val="0"/>
        </w:rPr>
        <w:t xml:space="preserve"> att frånträda förmynderskapet äga motsvarande tillämpning.</w:t>
      </w:r>
    </w:p>
    <w:p>
      <w:pPr>
        <w:pStyle w:val="Heading2"/>
      </w:pPr>
      <w:r>
        <w:t>5. Emil Gezelius (–, man)</w:t>
      </w:r>
    </w:p>
    <w:p>
      <w:r>
        <w:rPr>
          <w:b w:val="0"/>
        </w:rPr>
        <w:t>Jag ber, herr talman, att få yrka bifall till den reservation, som är avgiven vid nu föredragna paragraf. Denna reservation avser, att första punkten i paragrafen skulle få den förändrade lydelsen: »Går föräldrarnas äktenskap åter eller vinna de separation eller äktenskapsskillnad, vare den barnens förmyndare, som rätten finner lämpligt därtill förordna.» Däremot skulle den andra punkten i paragrafen kvarstå oförändrad, enligt utskottets förslag. Syftet härmed är, att icke med nödvändighet den av två makar, åt vilken rätten anförtror vårdnaden om barnen, också skall behöva förordnas till förmyndare, utan att detta skall bero på de skilda omständigheter, som böra vara bestämmande för det ena som det andra, och att prövningen härav skall anförtros åt rätten. Någon olägenhet därav föranledes icke, då ju rätten tager befattning såväl med hemskillnad som äktenskapsskillnad. Faran för att biträda utskottets förslag härutinnan ligger i, att prövningen av vårdnaden icke alltid komme att ske efter de omständigheter, som därför böra vara bestämmande, utan att det kan bli det ekonomiska intresset, som därvidlag i första rummet komme att bliva avgörande beträffande prövningen av vårdnadsfördelningen, vilket icke för barnen kan vara lämpligt.</w:t>
        <w:br/>
        <w:br/>
        <w:t>Jag ber att få yrka bifall till reservationen.</w:t>
      </w:r>
    </w:p>
    <w:p>
      <w:pPr>
        <w:pStyle w:val="Heading2"/>
      </w:pPr>
      <w:r>
        <w:t>6. Nils Alexanderson (Liberala samlingspartiet, man)</w:t>
      </w:r>
    </w:p>
    <w:p>
      <w:r>
        <w:rPr>
          <w:b w:val="0"/>
        </w:rPr>
        <w:t xml:space="preserve">Jag anhåller att få yrka bifall till utskottets hemställan om antagande av det kungliga förslaget i denna punkt. Att antaga en regel, som skulle kunna medföra, att den ene av föräldrarna finge vårdnaden om barnen och den andra bleve förmyndare, vore efter utskottets mening i detta fall ganska olämpligt. Det skall ganska sällan inträffa, att ett barn vars bägge föräldrar äro i livet, har någon förmögenhet, som kräver särskild ekonomisk omtanke hos förmyndaren. Å andra sidan är det i vår rätt ganska oklart, vilka befogenheter över barnet i personligt hänseende som ingå i förmynderskapet å ena sidan och å andra sidan i vårdnaden. Vid sådant förhållande måste man befara, att en splittring av dessa båda befogenheter på de redan skilda makarna skall kunna föranleda stridigheter. I de fåtal fall, då ett barn, vars bägge föräldrar äro i livet, verkligen har egen förmögenhet, torde för övrigt det ofta bero på, att med förbigående av den ena av föräldrarna, exempelvis modern, en </w:t>
      </w:r>
      <w:r>
        <w:rPr>
          <w:b/>
        </w:rPr>
        <w:t>hennes²</w:t>
      </w:r>
      <w:r>
        <w:rPr>
          <w:b w:val="0"/>
        </w:rPr>
        <w:t xml:space="preserve"> släkting direkt testamenterat medel till barnet, kanske just i avsikt att undandraga dessa medel förvaltningen av den i stridighet med mordern levande fardern. Detta sannolikt vällovliga syfte skulle emellertid illuderas, därest fadern bleve förordnad till barnets förmyndare.</w:t>
        <w:br/>
        <w:br/>
        <w:t>ag tror sålunda, att starka skäl tala för att följa den kungliga propositionen i förevarande fall.</w:t>
        <w:br/>
        <w:br/>
        <w:t>Ej må dock i något fall utländsk undersåte, som är gift, inför svensk myndighet ingå äktenskap; ej heller må äktenskap slutas mellan dem, som äro i rätt uppoch nedstigande släktskap med varandra eller äro syskon eller av vilka den ene varit gift med den andres släkting i rätt uppeller nedstigande led.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