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1315</w:t>
      </w:r>
    </w:p>
    <w:p>
      <w:r>
        <w:rPr>
          <w:b/>
        </w:rPr>
        <w:t xml:space="preserve">Datum: </w:t>
      </w:r>
      <w:r>
        <w:t>1916-01-01</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Jag skall be få fastslå, att lagutskottets utlåtande innehåller föga eller intet om orsaken till, att vissa utländska förebilder på detta område ha misslyckats. Orsaken därtill kan ju ha varit organisatoriska fel, något, som emellertid lagutskottet här icke lämnar någon som helst upplysning om. Jag har i mitt stilla sinne mycket tänkt över denna sak, och jag har' föreställt mig, att man skulle kunna göra ett obligatoriskt skiljedomsförfarande kraftigare genom att låta själva karaktären av det slut, vartill skiljedomaren kommer, vara avgörande för den fortsatta rätten att processa. Jag är visst icke främmande för den tanken, att om +t. ex. skiljedomaren har bestämt sagt ifrån, att det är en absolut orättfärdig sak som dragits inför honom — något som är eller åtminstone gränsar till rättegångsmissbruk — så må visserligen hans uttalande kunna överklagas i en instans, varvid naturligtvis även själva huvudfrågan må komma till prövning, men att sedan all rätt att låta saken gå vidare skall vara avklippt. Men det kan också inträffa, att skiljedomaren säger, att det är en synnerligen omtvistlig sak, som det gäller, och att han fördenskull rent av tillråder att låta det gå till process. En sådan sak må kunna gå igenom två instanser och möjligen även till en tredje. Så kan det ju också inträffa, att en person har en synnerligen rättfärdig sak, där förlikning ej kan åvägabringas. I sådant fall skulle det naturligtvis också finnas större rätt till processande.</w:t>
        <w:br/>
        <w:br/>
        <w:t>Jag menar således, att den verkliga karaktären av skiljedomsutslaget skulle vara utslagsgivande för den fortsatta rätten att processa. För mig existerar icke någon naturlig rätt att processa "— jag vet icke, om detta överensstämmer med den uppfattning, som presidenten Petersson och de övriga ledamöterna av lagutskottet i detta fall hysa — men det existerar för mig en naturlig rätt att få rätt. Det är nog blott detta, som skiljer oss åt.</w:t>
        <w:br/>
        <w:br/>
        <w:t>Jag skall även be att få nämna, att sedan ett trettiotal år har här i Stockholm på Adolf Hedins initiativ, vilket jag sedermera varit nog lycklig att i någon mån ha fått fullfölja, en förlikningsinstitution kommit till stånd, som verkat till utomordentlig belåtenhet, nämligen de s. k. fattigsakförarna. På senare tid förföll visserligen denna institution, men nu har den återuppstått och förbättrats i form av det s. k. Rättshjälpskontoret. Alltjämt har det stått i fattigsakförarnas instruktion, att deras förnämsta uppgift är att förlika hellre än att gå till process, och de ha även förlikt många tusental fall till stor belåtenhet för</w:t>
        <w:br/>
        <w:br/>
        <w:t>just en massa fattigt folk, som verkligen varit eller måhända Ang. inräti enstaka fall endast trott sig ekonomiskt eller på annat sätt förne av för ” orättade. Jag är livligt övertygad om, att ett förlikningsförfamissioner för rande är, såsom jag nyss sade, den grund, på vilken vi böra bygga biläggande av en ny rättegångsordning. vissa rätts- Om icke motionären hade avstått från att yrka bifall till sin tvister. motion, skulle jag ha velat vara med om ett sådant yrkande, del- — (Fort) vis på grund av lagutskottets motivering. När nu emellertid motionären icke yrkat bifall till motionen, skall jag icke heller</w:t>
        <w:br/>
        <w:br/>
        <w:t>tillåta mig att framställa något sådant yrkande, men jag är fortfarande, som sagt, övertygad om, att motionären här är inne</w:t>
        <w:br/>
        <w:br/>
        <w:t>på en fullkomlig riktig stråt, som har framtiden för sig.</w:t>
        <w:br/>
        <w:br/>
        <w:t>Den, som undergår straffarbete, skall hållas till arbete, som av vederbörande fångvårdsmyndighet för honom bestämmes. Där så</w:t>
        <w:br/>
        <w:br/>
        <w:t xml:space="preserve">Sedan tre månader från straffets början förflutit, må oberoende av omständigheter, varom nyss är sagt, tillstånd meddelas fånge, vilken ej undergår straffskärpning, att emottaga besök av </w:t>
      </w:r>
      <w:r>
        <w:rPr>
          <w:b/>
        </w:rPr>
        <w:t>maka³</w:t>
      </w:r>
      <w:r>
        <w:rPr>
          <w:b w:val="0"/>
        </w:rPr>
        <w:t>, föräldrar, barn, syskon eller andra närstående, där ej ordningen eller säkerheten inom straffanstalten kan därigenom äventyras eller besöket anses eljest kunna verka skadligt. Anmälan om sådant besök skall ske hos straffanstaltens styresman, som skall för besök bestämma lämplig tid samt, om han så aktar nödigt, förordna, att under besöket bevakningstjänsteman skall vara tillstädes.</w:t>
        <w:br/>
        <w:br/>
        <w:t>Brev eller annat skriftligt meddelande eller bud till eller från annan inom eller utom straffanstalten må icke av fången avsändas eller emottagas, utan att straffanstaltens styresman, efter prövning i varje fall, lämnar tillstånd därtill. Fången må dock icke förvägras att till svensk myndizhet avsända skriftlig framställning, såvitt den är avfattad i hövisk form.</w:t>
        <w:br/>
        <w:br/>
        <w:t>Vid tillämpning av ovan givna bestämmelser skall, där så lämpligen kan ske, iakttagas, att gradvis inträdande förmåner beredas fången i mån av gott uppförande och avtjänad strafftid.</w:t>
        <w:br/>
        <w:br/>
        <w:t xml:space="preserve">Av annan än vid straffanstalten anställd bevakningstjänsteman, läkare eller präst samt de personer, som hava uppsikt över straffanstalten eller där, till följd av tjänstebefattning eller fångvårdsstyrelsens beslut, äga tillträde, må fången ej mottaga besök, med mindre straffanstaltens styresman därtill lämnat tillstånd. Tillstånd att emottaga besök av </w:t>
      </w:r>
      <w:r>
        <w:rPr>
          <w:b/>
        </w:rPr>
        <w:t>maka³</w:t>
      </w:r>
      <w:r>
        <w:rPr>
          <w:b w:val="0"/>
        </w:rPr>
        <w:t>, föräldrar, barn, svskon eller andra närstående, må meddelas fånge, vilken ej undergår straffskärpning, där ej ordningen eller säkerheten inom straffanstalten kan därigenom även-</w:t>
        <w:br/>
        <w:br/>
        <w:t>tyras eller besöket anses eljest kunna verka skadligt. Anmälan om sådant besök skall ske hos straffanstaltens styresman, som skall för besöket bestämma lämplig tid samt, om han så aktar nödigt, förordna, att under besöket bevakningstjänsteman skall vara tillstädes. Tillstånd att emottaga besök av andra än nyss nämnda anhöriga kan allenast meddelas fånge, därest omständigheter av särskild vikt för fången prövas föreligga för besöket.</w:t>
      </w:r>
    </w:p>
    <w:p>
      <w:pPr>
        <w:pStyle w:val="Heading2"/>
      </w:pPr>
      <w:r>
        <w:t>2. Berndt Hasselrot (–, man)</w:t>
      </w:r>
    </w:p>
    <w:p>
      <w:r>
        <w:rPr>
          <w:b w:val="0"/>
        </w:rPr>
        <w:t>Herr talman, mina herrar! Vid andra paragrafen är fogad en reservation av herr Schotte, med vilken åtskilliga andra utskottsledamöter från denna kammare instämt. Reservanterna äro missnöjda med den i förslaget inrymda, från gällande lag hämtade bestämmelsen, enligt vilken straffarbetsfånge icke under de tre första månaderna av strafftiden, med mindre straffanstaltens styresman prövar omständigheter av särskild vikt föranleda undantag, må mottaga besök av »annan än fångvaktare, vid fängelset anställd läkare eller präst samt de personer, som över fängelset hava uppsikt eller där, till följd av tjänstebefattning eller fångvårdsstyrelsens beslut, äga tillträde». Denna bestämmelse innebär med andra ord att straffarbetsfånge — märk väl icke fängelsefånge — under de tre första månaderna av strafftiden endast i undantagsfall får mottaga besök av anhöriga. Bestämmelsen, vilken, jämförd med vad som gällde före 1906, innebär en straffskärpning, infördes sistnämnda år i ett förslag, som utarbetats av en stor, särskild kommitté, av vilken, bland andra, även denna kammares högt ärade talman var ledamot, och framlades för riksdagen av Staaffska ministären, där, som bekant, Staaff själv var justitieminister och där även herr Schotte, den ärade reservanten, var medlem. Bestämmelsens syfte var just att åstadkomma en skärpning av de kortvariga frihetsstraffen. Staaffska ministären ansåg sig, och med rätta, böra tillmötesgå den inom alla sakkunniga och intresserade kretsar, närda önskan i detta avseende. I alla civiliserade länder har länge klagan försports över de kortvariga frihetsstraffens bristande effektivitet, och på många vägar har man sökt råda bot på detta missförhållande.</w:t>
        <w:br/>
        <w:br/>
        <w:t>Den ifrågavarande bestämmelsen innebär emellertid, såsom redan antytts, icke något ovillkorligt förbud för fånge att under de tre första månaderna mottaga besök av närstående. Straffanstaltens styresman äger, om omständigheter av särskild vikt därtill föranleda, medgiva besök. Man vill förekomma förströelsebesök, nöjesbesök och, naturligtvis, framför allt, rena okynnesbesök. Om däremot sådana omständigheter föreligga, som den ärade reservanten särskilt åberopat till stöd för en utvidgning</w:t>
        <w:br/>
        <w:br/>
        <w:t>Genom att följa reservanterna, skulle man, såvitt jag förstår, gå längre, än reservanterna själva egentligen åsyftat. Öm reservationen bifalles, skulle regeln bli, att fånge ägde mottaga besök. Detta skulle av fången uppfattas såsom en ovillkorlig rätt. Då emellertid korttidsfångarna utgöra det stora övervägande flertalet av fångarna, skulle fängelserna snart bli överlupna med besök. Fångvårdsmyndigheterna skulle då säkerligen från ordningssynpunkt se sig nödsakade att inskränka besöken. Härav bleve åter följden, att fångarna skulle känna sig illa behandlade, känna sig kränkta i sin rätt; och detta i sin tur skulle medföra, att fångarna komme att hysa förbittring mot fängelsemyndigheterna, eller med andra ord, man skulle åstadkomma just det, som reservanterna genom sin reservation vilja förhindra. Bättre och klokare är det då, enligt min mening, att bibehålla det nuvarande systemet, enligt vilket fånge endast i undantagsfall, då omständigheter av särskild vikt därtill föranleda, har rätt att mottaga besök; besöket blir då en förmån. Om man däremot utan vidare biträder reservationen, så måste, såsom jag förut framhållit, vägran till besök ändock mycket ofta komma att ske; och dylik vägran kommer att uppfattas såsom en prickning.</w:t>
        <w:br/>
        <w:br/>
        <w:t>Synpunkten, att besöken böra givas egenskapen av förmån är ännu starkare vid de längre straffen. Man har i överensstämmelse med den moderna kriminalistiken sökt få fram en progressiv straffbehandling. Början härtill har med framgång gjorts av fångvårdsstyrelsen i dess cirkulär av den 31 december 1912. Där äro även besök upptagna såsom en av de förmåner, som komma fången till del i större utsträckning allt efter längre fängelsevistelse och gott uppförande. Ett sådant system förutsätter, att man inskränker förmånerna i början. FEljest finnes mot slutet av strafftiden icke någon möjlighet till ytterligare förmåner.</w:t>
        <w:br/>
        <w:br/>
        <w:t>Jag har från chefen för fångvårdsstyrelsen fått en promemoria, för vilken jag delvis skall redogöra, då däri bemötes fångvårdssällskapets framställning, på vilken reservanterna grundat sitt yrkande. Framställningen är missvisande — säger överdirektören — så vitt man kan anse den såsom uttryck för den i praktiken vunna erfarenheten. Den är undertecknad av direk-</w:t>
        <w:br/>
        <w:br/>
        <w:t>tör Reutercrona och pastor Wijkmark, vilka fullständigt sakna Om lag ang. erfarenhet om 1906 års lagbestämmelser, eftersom de icke sedan verkställighet nämnda år tjänstgjort vid cellfängelse. Den tredje av underteck- (0 Strage narna, pastor Wirén, har uppenbarligen icke begagnat sig av fängelsestraf. den rätt gällande lag ger honom. Det återstår då av dem, som = (Forts.) undertecknat ifrågavarande framställning, två fängelsedirektörer, nämligen direktören vid centralfängelset i Härlanda och direktören vid straffängelset i Västerås. Den senare förklarar, att han tillstyrker förändringen ur anförvanternas men icke egentligen ur fångens synpunkt. Vid förfrågan till övriga fängelsedirektörer, nämligen vid fyra centralfängelser och 13 straffängelser ha de samtliga förklarat en ändring icke vara önskvärd ur fångvårdens synpunkt. Således ha av 19 direktörer, som finnas häri riket, två förklarat sig för, men 17 emot ändringen. Direktörerna vid straffängelserna i Jönköping, Mariestad och Vänersborg anföra, att de finna ändringen obehövlig. Direktören vid straffängelset i Kristianstad framhåller, att den nuvarande bestämmelsen är välbetänkt och lämplig. Direktörerna vid straffängelserna i Stockholm, Uppsala, Linköping, Gävle, Karlstad och Falun säga, att den nuvarande bestämmelsen är mycket lämplig och den föreslagna ändringen till skada. Direktörerna vid centralfängelserna å Långholmen samt i Malmö, Härnösand och Växjö tillika med direktörerna vid straffängelserna i Karlskrona, Kalmar och Örebro hålla före, att den nuvarande bestämmelsen är nyttig och lämplig.</w:t>
        <w:br/>
        <w:br/>
        <w:t>Alla erkänna, såvitt jag vet, att detta av Kungl. Maj:t framlagda lagförslag är gott, att det är mycket gott. Det tillgodoser klokhetens synpunkter och det tillmötesgår humanitetens, så långt detta gärna är möjligt med hänsyn till arten av de stacars människor, om vilka här är fråga, och med hänsyn till straffets syfte. Om nu reservationen antages, riskerar man därigenom möjligen hela lagförslagets fall. Den bestämmelsen kommer emellertid i alla fall att leva, som reservanterna nu särskilt vilja döda. Resultatet av ett avslag skulle bli, att de olyckliga människor, som befolka våra fängelser, ginge miste om det myckna ostridiga goda, som rymmes inom förslaget.</w:t>
        <w:br/>
        <w:br/>
        <w:t>Då jag nu således, herr talman, tillåter mig uttala den livligaste förhoppning, att kammaren måtte antaga Kungl. Maj:ts förslag, särskilt efter den förklaring jag här avlämnat, så gör jag det i den för mig lyckliga tron, att här i detta rum icke finnes någon, som mer än jag är intresserad av, att humanitetens principer skola komma till sin rätt även i fråga om fångvården men ock i medvetandet om vikten av, att fångvårdens huvudsyfte ej äventyras.</w:t>
      </w:r>
    </w:p>
    <w:p>
      <w:pPr>
        <w:pStyle w:val="Heading2"/>
      </w:pPr>
      <w:r>
        <w:t>3. Axel Schotte (Liberala samlingspartiet, man)</w:t>
      </w:r>
    </w:p>
    <w:p>
      <w:r>
        <w:rPr>
          <w:b w:val="0"/>
        </w:rPr>
        <w:t>Herr talman! Herr justitieministern började med att erinra om, att nu ifrågavarande bestämmelse vore lika med nu gällande lagstiftning och att jag såsom ledamot av statsrådet deltagit i denna lagstiftnings tillkomst. Detta torde</w:t>
        <w:br/>
        <w:br/>
        <w:t xml:space="preserve">Vi ha till stöd för reservationen åberopat den faktiska erfarenhet, som vi ha trott ligga bakom det yttrande, som är avgivet av fångvårdssällskapets styrelse, en styrelse, som man väl hade anledning antaga skulle företräda den allmänna uppfattningen inom fångvårdskretsar. Vi ha därför icke, åtminstone icke jag för min del, gjort oss förvissade om, huruvida erfarenhet är allestädes lika bland fångvårdsmännen, utan vi ha, som sagt, antagit, att denna styrelse var representativ för den kår, som tillsatt densamma och av vars främsta förtroendemän den bestod. För min personliga del har jag också genom samtal med fångvårdsmän fått mig påvisade fall, där ganska likgiltiga familjeförsörjare just vaknat upp till ansvar för sin försörjningsplikt därigenom, att de under de första månaderna av fängelsetiden fått mottaga besök av anförvanter och av dessa påverkats. En fånge är vanliger i fängelset orolig för de sina; han har kanske familj att tänka på och sörja för, en </w:t>
      </w:r>
      <w:r>
        <w:rPr>
          <w:b/>
        </w:rPr>
        <w:t>hustru²</w:t>
      </w:r>
      <w:r>
        <w:rPr>
          <w:b w:val="0"/>
        </w:rPr>
        <w:t xml:space="preserve">, en </w:t>
      </w:r>
      <w:r>
        <w:rPr>
          <w:b/>
        </w:rPr>
        <w:t>mor²</w:t>
      </w:r>
      <w:r>
        <w:rPr>
          <w:b w:val="0"/>
        </w:rPr>
        <w:t xml:space="preserve"> eller någon annan, och det har därigenom varit lättare för vederbörande fångvårdstjänstemän, föreståndaren eller predikanten vid fängelset, att få en brygga över till denne persons känslosträngar; och enligt den uppfattning, som de personer haft, som jag talat med om denna sak, har man genom nämnda besök och de samtal de gett anledning till kunnat tillgodose ett fångvårdsoch samhällsintresse. Det har också tydligt framgått av de berättelser, jag fått höra, hurusom i åtminstone ett par fall förbudet att mottaga besök under den första fängelsetiden hos dessa fångar väckt förbittring och slöhet för andra känslointryck, vilket sedan följt dem under hela strafftiden. Om nu möjlighet till besök av anförvanter strax i början av strafftiden beredes dem, kan man å ömse sidor försöka att påverka varandra för att ställa så gynnsamt, som under de olyckliga förhållanden, varunder de leva, är möjligt. Naturligtvis har det icke varit min eller de övriga medreservanternas mening, att man skulle i detta fall tillåta några nyfikenhetsbesök eller sådana besök som i något avseende kunna ha en skadlig inverkan på fången. Dylika besök äro dock ganska sällsynta.</w:t>
        <w:br/>
        <w:br/>
        <w:t>Vi ha nu trott, att en dylik allmängiltig bestämmelse som den nu i lagförslaget innehållna skulle förhindra dessa besök av närstående, som särskilt ha att framföra sina bekymmer under den första tid, som fången sitter inne. Är det emellertid så, som herr justitieministern förklarade, eller att fångvårdsstyrelsen är betänkt på att meddela reglementariska föreskrifter, varigenom det tillstånd att besöka fångar, som förefaller oss att vara alltför ovillkorligt i lagförslaget, blir utsträckt därhän, att även omständigheter med avseende å fånges försörjningsplikt och hans</w:t>
        <w:br/>
        <w:br/>
        <w:t>förhållande till sina närmaste kan genom dylika besök få dis- Om lag ang.</w:t>
        <w:br/>
        <w:br/>
        <w:t>kuteras även under de tre första månaderna, ha vi därmed setet</w:t>
        <w:br/>
        <w:br/>
        <w:t>vunnit väsentligen vad vi avsett. Vi ha ju icke påyrkat annat än sbete och</w:t>
        <w:br/>
        <w:br/>
        <w:t>att få nu gällande bestämmelse i detta avseende modifierad, så fängelsestraf.</w:t>
        <w:br/>
        <w:br/>
        <w:t>av anförvanter, och vi ha visst icke menat, att man skulle tillåta</w:t>
        <w:br/>
        <w:br/>
        <w:t>besök i sådana fall, där besöken kunde anses verka på något sätt</w:t>
        <w:br/>
        <w:br/>
        <w:t>skadliga på fången eller då ordningen inom straffanstalten där-</w:t>
        <w:br/>
        <w:br/>
        <w:t>igenom på något sätt skulle äventyras. LON Kan herr justitieministern lämna kammaren en försäkran om,</w:t>
        <w:br/>
        <w:br/>
        <w:t>att de synpunkter, som han här gjorde gällande, skola vinna = Com</w:t>
        <w:br/>
        <w:br/>
        <w:t>det beaktande, som han nu ställt i utsikt, har jag för min del icke</w:t>
        <w:br/>
        <w:br/>
        <w:t>något särskilt yrkande att framställa i anledning av den förelig-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1315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